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sz w:val="28"/>
        </w:rPr>
      </w:pPr>
      <w:ins w:id="0" w:author="Evelyn Elsesser" w:date="2001-06-26T10:31:00Z">
        <w:r>
          <w:rPr>
            <w:rFonts w:cs="Times New Roman" w:ascii="Times New Roman" w:hAnsi="Times New Roman"/>
            <w:b/>
            <w:caps/>
            <w:sz w:val="28"/>
          </w:rPr>
          <w:t xml:space="preserve">next steps toward </w:t>
        </w:r>
      </w:ins>
      <w:del w:id="1" w:author="Evelyn Elsesser" w:date="2001-06-26T10:31:00Z">
        <w:r>
          <w:rPr>
            <w:rFonts w:cs="Times New Roman" w:ascii="Times New Roman" w:hAnsi="Times New Roman"/>
            <w:b/>
            <w:caps/>
            <w:sz w:val="28"/>
          </w:rPr>
          <w:delText xml:space="preserve">A Framework for </w:delText>
        </w:r>
      </w:del>
      <w:ins w:id="2" w:author="Evelyn Elsesser" w:date="2001-06-26T10:32:00Z">
        <w:r>
          <w:rPr>
            <w:rFonts w:cs="Times New Roman" w:ascii="Times New Roman" w:hAnsi="Times New Roman"/>
            <w:b/>
            <w:caps/>
            <w:sz w:val="28"/>
          </w:rPr>
          <w:t xml:space="preserve">improving </w:t>
        </w:r>
      </w:ins>
      <w:del w:id="3" w:author="Evelyn Elsesser" w:date="2001-06-26T10:32:00Z">
        <w:r>
          <w:rPr>
            <w:rFonts w:cs="Times New Roman" w:ascii="Times New Roman" w:hAnsi="Times New Roman"/>
            <w:b/>
            <w:caps/>
            <w:sz w:val="28"/>
          </w:rPr>
          <w:delText>the Future</w:delText>
        </w:r>
      </w:del>
    </w:p>
    <w:p>
      <w:pPr>
        <w:pStyle w:val="BodyText"/>
        <w:jc w:val="center"/>
        <w:rPr>
          <w:rFonts w:ascii="Times New Roman" w:hAnsi="Times New Roman" w:cs="Times New Roman"/>
          <w:b/>
          <w:sz w:val="28"/>
        </w:rPr>
      </w:pPr>
      <w:del w:id="4" w:author="Evelyn Elsesser" w:date="2001-06-26T10:32:00Z">
        <w:r>
          <w:rPr>
            <w:rFonts w:cs="Times New Roman" w:ascii="Times New Roman" w:hAnsi="Times New Roman"/>
            <w:b/>
            <w:caps/>
            <w:sz w:val="28"/>
          </w:rPr>
          <w:delText xml:space="preserve">of </w:delText>
        </w:r>
      </w:del>
      <w:r>
        <w:rPr>
          <w:rFonts w:cs="Times New Roman" w:ascii="Times New Roman" w:hAnsi="Times New Roman"/>
          <w:b/>
          <w:caps/>
          <w:sz w:val="28"/>
        </w:rPr>
        <w:t>California’s Electricity Market</w:t>
        <w:rPrChange w:id="0" w:author="Evelyn Elsesser" w:date="2001-06-18T21:01:00Z"/>
      </w:r>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from core service and must make a final election not later than January 1, 2004.  </w:t>
      </w:r>
      <w:del w:id="5" w:author="Evelyn Elsesser" w:date="2001-06-26T10:33:00Z">
        <w:r>
          <w:rPr>
            <w:sz w:val="28"/>
          </w:rPr>
          <w:delText xml:space="preserve"> </w:delText>
        </w:r>
      </w:del>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would be delayed by three months at a time in the absence of viable wholesale and retail markets.  The wholesale market would be deemed to be viable upon achieving a 15% summer reserve margin with the Western States Coordinating Council.  The California Public Utilities Commission would issue a decision on retail market viability not later September 1, 2002.  Upon certification of retail market viability by the CPUC and the achievement of the target reserve margin, the transition would occur.</w:t>
      </w:r>
      <w:del w:id="6" w:author="Evelyn Elsesser" w:date="2001-06-20T10:35:00Z">
        <w:r>
          <w:rPr>
            <w:sz w:val="28"/>
          </w:rPr>
          <w:delText xml:space="preserve">  </w:delText>
        </w:r>
      </w:del>
    </w:p>
    <w:p>
      <w:pPr>
        <w:pStyle w:val="ListBullet2"/>
        <w:ind w:hanging="720" w:start="1440" w:end="0"/>
        <w:rPr>
          <w:sz w:val="28"/>
        </w:rPr>
      </w:pPr>
      <w:r>
        <w:rPr>
          <w:sz w:val="28"/>
        </w:rPr>
      </w:r>
    </w:p>
    <w:p>
      <w:pPr>
        <w:pStyle w:val="ListBullet2"/>
        <w:ind w:hanging="720" w:start="1440" w:end="0"/>
        <w:rPr>
          <w:sz w:val="28"/>
        </w:rPr>
      </w:pPr>
      <w:r>
        <w:rPr>
          <w:sz w:val="28"/>
        </w:rPr>
        <w:t>1.4</w:t>
        <w:tab/>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pPr>
      <w:r>
        <w:rPr>
          <w:sz w:val="28"/>
        </w:rPr>
        <w:t>1.5</w:t>
      </w:r>
      <w:ins w:id="7" w:author="Evelyn Elsesser" w:date="2001-06-20T10:37:00Z">
        <w:r>
          <w:rPr>
            <w:sz w:val="28"/>
          </w:rPr>
          <w:tab/>
        </w:r>
      </w:ins>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 xml:space="preserve">A customer could elect to be served by the utility’s core portfolio at the average portfolio price, subject to a </w:t>
      </w:r>
      <w:ins w:id="8" w:author="Evelyn Elsesser" w:date="2001-06-26T10:33:00Z">
        <w:r>
          <w:rPr>
            <w:sz w:val="28"/>
            <w:highlight w:val="yellow"/>
          </w:rPr>
          <w:t>5</w:t>
        </w:r>
      </w:ins>
      <w:del w:id="9" w:author="Evelyn Elsesser" w:date="2001-06-26T10:33:00Z">
        <w:r>
          <w:rPr>
            <w:sz w:val="28"/>
            <w:highlight w:val="yellow"/>
          </w:rPr>
          <w:delText>[   ]</w:delText>
        </w:r>
      </w:del>
      <w:r>
        <w:rPr>
          <w:sz w:val="28"/>
        </w:rPr>
        <w:t xml:space="preserve"> year service commitment.  Material disagreement remains regarding the length of the commitment.  The customer would need to give12months irrevocable notice for a return to the core portfolio service).</w:t>
      </w:r>
      <w:del w:id="10" w:author="Evelyn Elsesser" w:date="2001-06-20T10:36:00Z">
        <w:r>
          <w:rPr>
            <w:sz w:val="28"/>
          </w:rPr>
          <w:delText xml:space="preserve">   </w:delText>
        </w:r>
      </w:del>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w:t>
      </w:r>
      <w:del w:id="11" w:author="Evelyn Elsesser" w:date="2001-06-26T10:34:00Z">
        <w:r>
          <w:rPr>
            <w:sz w:val="28"/>
            <w:highlight w:val="yellow"/>
          </w:rPr>
          <w:delText>[Subject to further negotiation on disposition of CDWR forward obligations.]</w:delText>
        </w:r>
      </w:del>
      <w:del w:id="12" w:author="Evelyn Elsesser" w:date="2001-06-26T10:34:00Z">
        <w:r>
          <w:rPr>
            <w:sz w:val="28"/>
          </w:rPr>
          <w:delText xml:space="preserve"> </w:delText>
        </w:r>
      </w:del>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b/>
          <w:sz w:val="28"/>
        </w:rPr>
      </w:pPr>
      <w:r>
        <w:rPr>
          <w:b/>
          <w:sz w:val="28"/>
        </w:rPr>
        <w:t>Utility retained generation would be dedicated to residential and small commercial customers with loads less than 20 kW and larger customers who elect core service, bringing greater price stability to their energy purchases.  Additionally, 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Core and core elect customers would 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 xml:space="preserve">The core portfolio would continue to be regulated by the CPUC, and in a manner that ensures clear procurement guidelines established through a public process, 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core portfolio would include utility-owned generation, all power purchase agreements, including qualifying facility agreements, SCE’s Mission Sunrise contract and other energy purchases necessary to fill any net short portfolio position.  The inclusion of Sunrise in the core portfolio would be subject to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 xml:space="preserve">The cost of the core portfolio would be allocated among core and core-elect customer classes on an equal cents per kWh basis, taking into account time variation of costs.  Within customer classes, rates shall be designed in a manner to provide time-based price signals.  For the core class, this would mean continuation of the existing or modified tiered rates.  </w:t>
      </w:r>
      <w:del w:id="13" w:author="Evelyn Elsesser" w:date="2001-06-26T10:39:00Z">
        <w:r>
          <w:rPr>
            <w:sz w:val="28"/>
          </w:rPr>
          <w:delText>[Analysis Pending]</w:delText>
        </w:r>
      </w:del>
      <w:del w:id="14" w:author="Evelyn Elsesser" w:date="2001-06-19T11:22:00Z">
        <w:r>
          <w:rPr>
            <w:sz w:val="28"/>
          </w:rPr>
          <w:delText xml:space="preserve"> </w:delText>
        </w:r>
      </w:del>
    </w:p>
    <w:p>
      <w:pPr>
        <w:pStyle w:val="Normal"/>
        <w:ind w:hanging="1440" w:start="2880" w:end="0"/>
        <w:rPr>
          <w:sz w:val="28"/>
        </w:rPr>
      </w:pPr>
      <w:r>
        <w:rPr>
          <w:sz w:val="28"/>
        </w:rPr>
      </w:r>
    </w:p>
    <w:p>
      <w:pPr>
        <w:pStyle w:val="ListBullet2"/>
        <w:ind w:hanging="1440" w:start="2880" w:end="0"/>
        <w:rPr>
          <w:sz w:val="28"/>
        </w:rPr>
      </w:pPr>
      <w:r>
        <w:rPr>
          <w:sz w:val="28"/>
        </w:rPr>
        <w:t>3.1.1.4</w:t>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A core customer taking direct access prior to the effective date of the proposal would be “grand fathered”, provided that the customer would bear the responsibility for other applicable nonbypassable charges.</w:t>
      </w:r>
    </w:p>
    <w:p>
      <w:pPr>
        <w:pStyle w:val="ListBullet2"/>
        <w:ind w:hanging="0" w:end="0"/>
        <w:rPr>
          <w:b/>
          <w:sz w:val="28"/>
        </w:rPr>
      </w:pPr>
      <w:r>
        <w:rPr>
          <w:b/>
          <w:sz w:val="28"/>
        </w:rPr>
      </w:r>
    </w:p>
    <w:p>
      <w:pPr>
        <w:pStyle w:val="ListBullet2"/>
        <w:numPr>
          <w:ilvl w:val="2"/>
          <w:numId w:val="3"/>
        </w:numPr>
        <w:rPr>
          <w:sz w:val="28"/>
        </w:rPr>
      </w:pPr>
      <w:r>
        <w:rPr>
          <w:sz w:val="28"/>
        </w:rPr>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w:t>
      </w:r>
      <w:ins w:id="15" w:author="Evelyn Elsesser" w:date="2001-06-19T10:45:00Z">
        <w:r>
          <w:rPr>
            <w:sz w:val="28"/>
          </w:rPr>
          <w:t xml:space="preserve"> </w:t>
        </w:r>
      </w:ins>
      <w:r>
        <w:rPr>
          <w:sz w:val="28"/>
        </w:rPr>
        <w:t>consistent with applicable tariffs in place as of the effective date of this proposal.</w:t>
      </w:r>
    </w:p>
    <w:p>
      <w:pPr>
        <w:pStyle w:val="ListBullet2"/>
        <w:ind w:hanging="0" w:start="0" w:end="0"/>
        <w:rPr>
          <w:b/>
          <w:sz w:val="28"/>
        </w:rPr>
      </w:pPr>
      <w:r>
        <w:rPr>
          <w:b/>
          <w:sz w:val="28"/>
        </w:rPr>
      </w:r>
    </w:p>
    <w:p>
      <w:pPr>
        <w:pStyle w:val="ListBullet2"/>
        <w:ind w:hanging="720" w:end="0"/>
        <w:rPr>
          <w:b/>
          <w:smallCaps/>
          <w:sz w:val="28"/>
          <w:ins w:id="17" w:author="Evelyn Elsesser" w:date="2001-06-20T14:56:00Z"/>
        </w:rPr>
      </w:pPr>
      <w:r>
        <w:rPr>
          <w:b/>
          <w:sz w:val="28"/>
        </w:rPr>
        <w:t>4.</w:t>
        <w:tab/>
      </w:r>
      <w:r>
        <w:rPr>
          <w:b/>
          <w:smallCaps/>
          <w:sz w:val="28"/>
        </w:rPr>
        <w:t>Interim Rate Relief</w:t>
      </w:r>
      <w:ins w:id="16" w:author="Evelyn Elsesser" w:date="2001-06-18T21:14:00Z">
        <w:r>
          <w:rPr>
            <w:b/>
            <w:smallCaps/>
            <w:sz w:val="28"/>
          </w:rPr>
          <w:t xml:space="preserve"> </w:t>
        </w:r>
      </w:ins>
    </w:p>
    <w:p>
      <w:pPr>
        <w:pStyle w:val="ListBullet2"/>
        <w:ind w:hanging="720" w:end="0"/>
        <w:rPr>
          <w:b/>
          <w:smallCaps/>
          <w:sz w:val="28"/>
          <w:ins w:id="19" w:author="Evelyn Elsesser" w:date="2001-06-20T14:56:00Z"/>
        </w:rPr>
      </w:pPr>
      <w:ins w:id="18" w:author="Evelyn Elsesser" w:date="2001-06-20T14:56:00Z">
        <w:r>
          <w:rPr>
            <w:b/>
            <w:smallCaps/>
            <w:sz w:val="28"/>
          </w:rPr>
        </w:r>
      </w:ins>
    </w:p>
    <w:p>
      <w:pPr>
        <w:pStyle w:val="BodyTextIndent2"/>
        <w:ind w:start="0" w:end="0"/>
        <w:rPr>
          <w:b/>
          <w:sz w:val="28"/>
          <w:ins w:id="24" w:author="Evelyn Elsesser" w:date="2001-06-20T14:58:00Z"/>
        </w:rPr>
      </w:pPr>
      <w:r>
        <w:rPr>
          <w:b/>
          <w:sz w:val="28"/>
        </w:rPr>
        <w:t xml:space="preserve">Recent rate increases implemented by the CPUC have resulted in severe economic impact on business customers.  Any solution should consider granting rate relief to mitigate the disproportionate impact.  </w:t>
      </w:r>
      <w:ins w:id="20" w:author="Evelyn Elsesser" w:date="2001-06-26T10:41:00Z">
        <w:r>
          <w:rPr>
            <w:b/>
            <w:sz w:val="28"/>
          </w:rPr>
          <w:t xml:space="preserve">Material disagreement remains regarding the </w:t>
        </w:r>
      </w:ins>
      <w:ins w:id="21" w:author="Evelyn Elsesser" w:date="2001-06-26T10:46:00Z">
        <w:r>
          <w:rPr>
            <w:b/>
            <w:sz w:val="28"/>
          </w:rPr>
          <w:t xml:space="preserve">ability and </w:t>
        </w:r>
      </w:ins>
      <w:ins w:id="22" w:author="Evelyn Elsesser" w:date="2001-06-26T10:41:00Z">
        <w:r>
          <w:rPr>
            <w:b/>
            <w:sz w:val="28"/>
          </w:rPr>
          <w:t>means of achieving interim rate relief.</w:t>
        </w:r>
      </w:ins>
      <w:ins w:id="23" w:author="Evelyn Elsesser" w:date="2001-06-26T10:43:00Z">
        <w:r>
          <w:rPr>
            <w:b/>
            <w:sz w:val="28"/>
          </w:rPr>
          <w:t xml:space="preserve">  Three options are presented for consideration.</w:t>
        </w:r>
      </w:ins>
    </w:p>
    <w:p>
      <w:pPr>
        <w:pStyle w:val="BodyTextIndent2"/>
        <w:ind w:start="0" w:end="0"/>
        <w:rPr>
          <w:b/>
          <w:sz w:val="28"/>
          <w:ins w:id="26" w:author="Evelyn Elsesser" w:date="2001-06-20T14:58:00Z"/>
        </w:rPr>
      </w:pPr>
      <w:ins w:id="25" w:author="Evelyn Elsesser" w:date="2001-06-20T14:58:00Z">
        <w:r>
          <w:rPr>
            <w:b/>
            <w:sz w:val="28"/>
          </w:rPr>
        </w:r>
      </w:ins>
    </w:p>
    <w:p>
      <w:pPr>
        <w:pStyle w:val="BodyTextIndent2"/>
        <w:ind w:start="0" w:end="0"/>
        <w:rPr>
          <w:b/>
          <w:sz w:val="28"/>
          <w:ins w:id="28" w:author="Evelyn Elsesser" w:date="2001-06-20T14:58:00Z"/>
        </w:rPr>
      </w:pPr>
      <w:ins w:id="27" w:author="Evelyn Elsesser" w:date="2001-06-20T14:58:00Z">
        <w:r>
          <w:rPr>
            <w:b/>
            <w:sz w:val="28"/>
          </w:rPr>
        </w:r>
      </w:ins>
    </w:p>
    <w:p>
      <w:pPr>
        <w:pStyle w:val="BodyTextIndent2"/>
        <w:ind w:start="0" w:end="0"/>
        <w:rPr>
          <w:b/>
          <w:sz w:val="28"/>
          <w:u w:val="single"/>
        </w:rPr>
      </w:pPr>
      <w:r>
        <w:rPr>
          <w:b/>
          <w:sz w:val="28"/>
          <w:u w:val="single"/>
        </w:rPr>
        <w:t>Option 1:</w:t>
        <w:rPrChange w:id="0" w:author="Evelyn Elsesser" w:date="2001-06-20T14:58:00Z"/>
      </w:r>
    </w:p>
    <w:p>
      <w:pPr>
        <w:pStyle w:val="BodyTextIndent2"/>
        <w:rPr>
          <w:rFonts w:ascii="Times New Roman" w:hAnsi="Times New Roman" w:cs="Times New Roman"/>
          <w:b/>
          <w:bCs/>
          <w:sz w:val="28"/>
          <w:u w:val="single"/>
        </w:rPr>
      </w:pPr>
      <w:r>
        <w:rPr>
          <w:rFonts w:cs="Times New Roman" w:ascii="Times New Roman" w:hAnsi="Times New Roman"/>
          <w:b/>
          <w:bCs/>
          <w:sz w:val="28"/>
          <w:u w:val="single"/>
          <w:rPrChange w:id="0" w:author="Evelyn Elsesser" w:date="2001-06-20T14:58:00Z"/>
        </w:rPr>
      </w:r>
    </w:p>
    <w:p>
      <w:pPr>
        <w:pStyle w:val="BodyTextIndent2"/>
        <w:numPr>
          <w:ilvl w:val="2"/>
          <w:numId w:val="8"/>
        </w:numPr>
        <w:rPr>
          <w:rFonts w:ascii="Times New Roman" w:hAnsi="Times New Roman" w:cs="Times New Roman"/>
          <w:b/>
          <w:bCs/>
          <w:sz w:val="28"/>
        </w:rPr>
      </w:pPr>
      <w:r>
        <w:rPr>
          <w:rFonts w:cs="Times New Roman" w:ascii="Times New Roman" w:hAnsi="Times New Roman"/>
          <w:sz w:val="28"/>
        </w:rPr>
        <w:t xml:space="preserve">Upon passage of legislation, SCE would reduce rates to ensure that no Large Power rate schedule or tariff option incurs an average increase of more than 50% when compared with rates in effect for that schedule on January 4, 2001.  </w:t>
      </w:r>
    </w:p>
    <w:p>
      <w:pPr>
        <w:pStyle w:val="BodyTextIndent2"/>
        <w:ind w:start="0" w:end="0"/>
        <w:rPr>
          <w:rFonts w:ascii="Times New Roman" w:hAnsi="Times New Roman" w:cs="Times New Roman"/>
          <w:b/>
          <w:bCs/>
          <w:sz w:val="28"/>
        </w:rPr>
      </w:pPr>
      <w:r>
        <w:rPr>
          <w:rFonts w:cs="Times New Roman" w:ascii="Times New Roman" w:hAnsi="Times New Roman"/>
          <w:b/>
          <w:bCs/>
          <w:sz w:val="28"/>
        </w:rPr>
      </w:r>
    </w:p>
    <w:p>
      <w:pPr>
        <w:pStyle w:val="ListBullet3"/>
        <w:numPr>
          <w:ilvl w:val="2"/>
          <w:numId w:val="8"/>
        </w:numPr>
        <w:rPr>
          <w:bCs/>
          <w:sz w:val="28"/>
        </w:rPr>
      </w:pPr>
      <w:r>
        <w:rPr>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ListBullet3"/>
        <w:tabs>
          <w:tab w:val="clear" w:pos="720"/>
          <w:tab w:val="left" w:pos="1440" w:leader="none"/>
        </w:tabs>
        <w:ind w:hanging="0" w:start="0" w:end="0"/>
        <w:rPr>
          <w:b/>
          <w:bCs/>
          <w:smallCaps/>
          <w:sz w:val="28"/>
        </w:rPr>
      </w:pPr>
      <w:r>
        <w:rPr>
          <w:b/>
          <w:bCs/>
          <w:smallCaps/>
          <w:sz w:val="28"/>
        </w:rPr>
      </w:r>
    </w:p>
    <w:p>
      <w:pPr>
        <w:pStyle w:val="ListBullet2"/>
        <w:ind w:hanging="720" w:start="1440" w:end="0"/>
        <w:rPr>
          <w:b/>
          <w:sz w:val="28"/>
        </w:rPr>
      </w:pPr>
      <w:r>
        <w:rPr>
          <w:sz w:val="28"/>
        </w:rPr>
        <w:t xml:space="preserve">4.1.3 </w:t>
        <w:tab/>
        <w:t>Regardless of the option selected, any costs resulting from a modification of baseline levels remain within the residential customer class.</w:t>
      </w:r>
    </w:p>
    <w:p>
      <w:pPr>
        <w:pStyle w:val="ListBullet2"/>
        <w:ind w:hanging="0" w:start="0" w:end="0"/>
        <w:rPr>
          <w:b/>
          <w:sz w:val="28"/>
        </w:rPr>
      </w:pPr>
      <w:r>
        <w:rPr>
          <w:b/>
          <w:sz w:val="28"/>
        </w:rPr>
      </w:r>
    </w:p>
    <w:p>
      <w:pPr>
        <w:pStyle w:val="ListBullet2"/>
        <w:ind w:hanging="0" w:start="0" w:end="0"/>
        <w:rPr>
          <w:b/>
          <w:sz w:val="28"/>
        </w:rPr>
      </w:pPr>
      <w:r>
        <w:rPr>
          <w:b/>
          <w:sz w:val="28"/>
        </w:rPr>
      </w:r>
    </w:p>
    <w:p>
      <w:pPr>
        <w:pStyle w:val="ListBullet2"/>
        <w:ind w:hanging="0" w:end="0"/>
        <w:rPr>
          <w:b/>
          <w:sz w:val="28"/>
        </w:rPr>
      </w:pPr>
      <w:r>
        <w:rPr>
          <w:b/>
          <w:sz w:val="28"/>
        </w:rPr>
        <w:t>Option 2: Immediate Rate Relief</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ind w:hanging="720" w:start="1440" w:end="0"/>
        <w:rPr/>
      </w:pPr>
      <w:r>
        <w:rPr>
          <w:rFonts w:cs="Times New Roman" w:ascii="Times New Roman" w:hAnsi="Times New Roman"/>
          <w:sz w:val="28"/>
        </w:rPr>
        <w:t>4.2.1</w:t>
        <w:tab/>
        <w:t>A means of providing relief would be the implementation of an immediate average rate reduction of 1</w:t>
      </w:r>
      <w:r>
        <w:rPr>
          <w:rFonts w:cs="Arial"/>
          <w:sz w:val="28"/>
        </w:rPr>
        <w:t>¢</w:t>
      </w:r>
      <w:r>
        <w:rPr>
          <w:rFonts w:cs="Times New Roman" w:ascii="Times New Roman" w:hAnsi="Times New Roman"/>
          <w:sz w:val="28"/>
        </w:rPr>
        <w:t>/kWh,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rFonts w:ascii="Times New Roman" w:hAnsi="Times New Roman" w:cs="Times New Roman"/>
          <w:b/>
          <w:bCs/>
          <w:sz w:val="28"/>
        </w:rPr>
      </w:pPr>
      <w:r>
        <w:rPr>
          <w:rFonts w:cs="Times New Roman" w:ascii="Times New Roman" w:hAnsi="Times New Roman"/>
          <w:b/>
          <w:bCs/>
          <w:sz w:val="28"/>
        </w:rPr>
        <w:t>Option 3: Reduction or Increase Through Balancing Accounts</w:t>
      </w:r>
    </w:p>
    <w:p>
      <w:pPr>
        <w:pStyle w:val="BodyTextIndent2"/>
        <w:rPr>
          <w:rFonts w:ascii="Times New Roman" w:hAnsi="Times New Roman" w:cs="Times New Roman"/>
          <w:b/>
          <w:bCs/>
          <w:sz w:val="28"/>
        </w:rPr>
      </w:pPr>
      <w:r>
        <w:rPr>
          <w:rFonts w:cs="Times New Roman" w:ascii="Times New Roman" w:hAnsi="Times New Roman"/>
          <w:b/>
          <w:b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4.3.2</w:t>
        <w:tab/>
      </w:r>
      <w:r>
        <w:rPr>
          <w:rFonts w:cs="Times New Roman" w:ascii="Times New Roman" w:hAnsi="Times New Roman"/>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4.3.2. 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
          <w:sz w:val="28"/>
          <w:del w:id="31" w:author="Evelyn Elsesser" w:date="2001-06-26T10:50:00Z"/>
        </w:rPr>
      </w:pPr>
      <w:r>
        <w:rPr>
          <w:b/>
          <w:sz w:val="28"/>
        </w:rPr>
        <w:t>5.</w:t>
        <w:tab/>
      </w:r>
      <w:r>
        <w:rPr>
          <w:b/>
          <w:smallCaps/>
          <w:sz w:val="28"/>
        </w:rPr>
        <w:t>SCE Financial Solvency</w:t>
      </w:r>
      <w:ins w:id="30" w:author="Evelyn Elsesser" w:date="2001-06-18T21:15:00Z">
        <w:r>
          <w:rPr>
            <w:b/>
            <w:smallCaps/>
            <w:sz w:val="28"/>
          </w:rPr>
          <w:t xml:space="preserve"> </w:t>
        </w:r>
      </w:ins>
    </w:p>
    <w:p>
      <w:pPr>
        <w:pStyle w:val="Heading1"/>
        <w:keepLines/>
        <w:ind w:hanging="720" w:start="720" w:end="0"/>
        <w:rPr>
          <w:b/>
          <w:sz w:val="28"/>
        </w:rPr>
      </w:pPr>
      <w:r>
        <w:rPr>
          <w:b/>
          <w:sz w:val="28"/>
        </w:rPr>
      </w:r>
    </w:p>
    <w:p>
      <w:pPr>
        <w:pStyle w:val="Heading1"/>
        <w:keepLines/>
        <w:ind w:hanging="0" w:start="720" w:end="0"/>
        <w:rPr>
          <w:b/>
          <w:sz w:val="28"/>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Agreement on the allocation methodology for the Net Undercollected Amounts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Until December 31, 2002 the responsibility for payment of the Net Undercollected Amount</w:t>
      </w:r>
      <w:ins w:id="32" w:author="Evelyn Elsesser" w:date="2001-06-26T10:53:00Z">
        <w:r>
          <w:rPr>
            <w:sz w:val="28"/>
          </w:rPr>
          <w:t xml:space="preserve"> would be assigned to all customers, on an equal cents per kWh basis</w:t>
        </w:r>
      </w:ins>
      <w:del w:id="33" w:author="Evelyn Elsesser" w:date="2001-06-26T10:51:00Z">
        <w:r>
          <w:rPr>
            <w:sz w:val="28"/>
          </w:rPr>
          <w:delText>,</w:delText>
        </w:r>
      </w:del>
      <w:ins w:id="34" w:author="Evelyn Elsesser" w:date="2001-06-26T10:51:00Z">
        <w:r>
          <w:rPr>
            <w:sz w:val="28"/>
          </w:rPr>
          <w:t>.  A definition for Net Undercollection Amount has been proposed in Appendix A, but has not been agreed upon</w:t>
        </w:r>
      </w:ins>
      <w:ins w:id="35" w:author="Evelyn Elsesser" w:date="2001-06-26T10:53:00Z">
        <w:r>
          <w:rPr>
            <w:sz w:val="28"/>
          </w:rPr>
          <w:t>.</w:t>
        </w:r>
      </w:ins>
      <w:del w:id="36" w:author="Evelyn Elsesser" w:date="2001-06-26T10:53:00Z">
        <w:r>
          <w:rPr>
            <w:sz w:val="28"/>
          </w:rPr>
          <w:delText xml:space="preserve"> as defined in Appendix A,  would be assigned to all customers, on an equal cents per kWh basis.  </w:delText>
        </w:r>
      </w:del>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numPr>
          <w:ilvl w:val="1"/>
          <w:numId w:val="10"/>
        </w:numPr>
        <w:tabs>
          <w:tab w:val="clear" w:pos="720"/>
          <w:tab w:val="left" w:pos="1440" w:leader="none"/>
        </w:tabs>
        <w:ind w:hanging="720" w:start="1440" w:end="0"/>
        <w:rPr>
          <w:sz w:val="28"/>
          <w:ins w:id="50" w:author="Evelyn Elsesser" w:date="2001-06-26T11:01:00Z"/>
        </w:rPr>
      </w:pPr>
      <w:ins w:id="37" w:author="Evelyn Elsesser" w:date="2001-06-26T10:55:00Z">
        <w:r>
          <w:rPr>
            <w:sz w:val="28"/>
          </w:rPr>
          <w:t xml:space="preserve">Current law should be modified to ensure that bonds issued for repayment of CDWR obligations are backed </w:t>
        </w:r>
      </w:ins>
      <w:ins w:id="38" w:author="Evelyn Elsesser" w:date="2001-06-26T10:58:00Z">
        <w:r>
          <w:rPr>
            <w:sz w:val="28"/>
          </w:rPr>
          <w:t xml:space="preserve">only </w:t>
        </w:r>
      </w:ins>
      <w:ins w:id="39" w:author="Evelyn Elsesser" w:date="2001-06-26T10:55:00Z">
        <w:r>
          <w:rPr>
            <w:sz w:val="28"/>
          </w:rPr>
          <w:t>by a dedicated rate component</w:t>
        </w:r>
      </w:ins>
      <w:ins w:id="40" w:author="Evelyn Elsesser" w:date="2001-06-26T10:58:00Z">
        <w:r>
          <w:rPr>
            <w:sz w:val="28"/>
          </w:rPr>
          <w:t xml:space="preserve">.  </w:t>
        </w:r>
      </w:ins>
      <w:ins w:id="41" w:author="Evelyn Elsesser" w:date="2001-06-26T11:00:00Z">
        <w:r>
          <w:rPr>
            <w:sz w:val="28"/>
          </w:rPr>
          <w:t xml:space="preserve">The </w:t>
        </w:r>
      </w:ins>
      <w:ins w:id="42" w:author="Evelyn Elsesser" w:date="2001-06-26T10:58:00Z">
        <w:r>
          <w:rPr>
            <w:sz w:val="28"/>
          </w:rPr>
          <w:t>bond</w:t>
        </w:r>
      </w:ins>
      <w:ins w:id="43" w:author="Evelyn Elsesser" w:date="2001-06-26T11:00:00Z">
        <w:r>
          <w:rPr>
            <w:sz w:val="28"/>
          </w:rPr>
          <w:t>s</w:t>
        </w:r>
      </w:ins>
      <w:ins w:id="44" w:author="Evelyn Elsesser" w:date="2001-06-26T10:58:00Z">
        <w:r>
          <w:rPr>
            <w:sz w:val="28"/>
          </w:rPr>
          <w:t xml:space="preserve"> should be </w:t>
        </w:r>
      </w:ins>
      <w:ins w:id="45" w:author="Evelyn Elsesser" w:date="2001-06-26T10:55:00Z">
        <w:r>
          <w:rPr>
            <w:sz w:val="28"/>
          </w:rPr>
          <w:t xml:space="preserve">independent of </w:t>
        </w:r>
      </w:ins>
      <w:ins w:id="46" w:author="Evelyn Elsesser" w:date="2001-06-26T11:00:00Z">
        <w:r>
          <w:rPr>
            <w:sz w:val="28"/>
          </w:rPr>
          <w:t xml:space="preserve">the </w:t>
        </w:r>
      </w:ins>
      <w:ins w:id="47" w:author="Evelyn Elsesser" w:date="2001-06-26T10:55:00Z">
        <w:r>
          <w:rPr>
            <w:sz w:val="28"/>
          </w:rPr>
          <w:t xml:space="preserve">revenue streams associated with </w:t>
        </w:r>
      </w:ins>
      <w:ins w:id="48" w:author="Evelyn Elsesser" w:date="2001-06-26T10:59:00Z">
        <w:r>
          <w:rPr>
            <w:sz w:val="28"/>
          </w:rPr>
          <w:t xml:space="preserve">CDWR </w:t>
        </w:r>
      </w:ins>
      <w:ins w:id="49" w:author="Evelyn Elsesser" w:date="2001-06-26T10:55:00Z">
        <w:r>
          <w:rPr>
            <w:sz w:val="28"/>
          </w:rPr>
          <w:t>power.</w:t>
        </w:r>
      </w:ins>
    </w:p>
    <w:p>
      <w:pPr>
        <w:pStyle w:val="ListBullet2"/>
        <w:tabs>
          <w:tab w:val="clear" w:pos="720"/>
          <w:tab w:val="left" w:pos="1440" w:leader="none"/>
        </w:tabs>
        <w:ind w:hanging="720" w:start="1440" w:end="0"/>
        <w:rPr>
          <w:sz w:val="28"/>
          <w:ins w:id="52" w:author="Evelyn Elsesser" w:date="2001-06-26T11:01:00Z"/>
        </w:rPr>
      </w:pPr>
      <w:ins w:id="51" w:author="Evelyn Elsesser" w:date="2001-06-26T11:01:00Z">
        <w:r>
          <w:rPr>
            <w:sz w:val="28"/>
          </w:rPr>
        </w:r>
      </w:ins>
    </w:p>
    <w:p>
      <w:pPr>
        <w:pStyle w:val="ListBullet2"/>
        <w:numPr>
          <w:ilvl w:val="1"/>
          <w:numId w:val="10"/>
        </w:numPr>
        <w:tabs>
          <w:tab w:val="clear" w:pos="720"/>
          <w:tab w:val="left" w:pos="1440" w:leader="none"/>
        </w:tabs>
        <w:ind w:hanging="720" w:start="1440" w:end="0"/>
        <w:rPr>
          <w:sz w:val="28"/>
          <w:ins w:id="59" w:author="Evelyn Elsesser" w:date="2001-06-26T10:55:00Z"/>
        </w:rPr>
      </w:pPr>
      <w:ins w:id="53" w:author="Evelyn Elsesser" w:date="2001-06-26T11:01:00Z">
        <w:r>
          <w:rPr>
            <w:sz w:val="28"/>
          </w:rPr>
          <w:t>“</w:t>
        </w:r>
      </w:ins>
      <w:ins w:id="54" w:author="Evelyn Elsesser" w:date="2001-06-26T11:01:00Z">
        <w:r>
          <w:rPr>
            <w:sz w:val="28"/>
          </w:rPr>
          <w:t>Stranded” costs associated with CDWR forward obligations would be allocated among all customers on an equal cents per kWh basis</w:t>
        </w:r>
      </w:ins>
      <w:ins w:id="55" w:author="Evelyn Elsesser" w:date="2001-06-26T11:04:00Z">
        <w:r>
          <w:rPr>
            <w:sz w:val="28"/>
          </w:rPr>
          <w:t>.  Small customers proposed</w:t>
        </w:r>
      </w:ins>
      <w:ins w:id="56" w:author="Evelyn Elsesser" w:date="2001-06-26T11:01:00Z">
        <w:r>
          <w:rPr>
            <w:sz w:val="28"/>
          </w:rPr>
          <w:t xml:space="preserve">, subject </w:t>
        </w:r>
      </w:ins>
      <w:ins w:id="57" w:author="Evelyn Elsesser" w:date="2001-06-26T11:04:00Z">
        <w:r>
          <w:rPr>
            <w:sz w:val="28"/>
          </w:rPr>
          <w:t>to further discussion,</w:t>
        </w:r>
      </w:ins>
      <w:ins w:id="58" w:author="Evelyn Elsesser" w:date="2001-06-26T11:01:00Z">
        <w:r>
          <w:rPr>
            <w:sz w:val="28"/>
          </w:rPr>
          <w:t xml:space="preserve"> a cap on allocation to core customers based on market prices.  </w:t>
        </w:r>
      </w:ins>
    </w:p>
    <w:p>
      <w:pPr>
        <w:pStyle w:val="ListBullet2"/>
        <w:rPr>
          <w:sz w:val="28"/>
        </w:rPr>
      </w:pPr>
      <w:r>
        <w:rPr>
          <w:sz w:val="28"/>
        </w:rPr>
      </w:r>
    </w:p>
    <w:p>
      <w:pPr>
        <w:pStyle w:val="ListBullet2"/>
        <w:ind w:hanging="0" w:start="0" w:end="0"/>
        <w:rPr>
          <w:sz w:val="28"/>
        </w:rPr>
      </w:pPr>
      <w:r>
        <w:rPr>
          <w:sz w:val="28"/>
        </w:rPr>
      </w:r>
    </w:p>
    <w:p>
      <w:pPr>
        <w:pStyle w:val="ListBullet2"/>
        <w:ind w:hanging="720" w:start="1440" w:end="0"/>
        <w:rPr>
          <w:b/>
          <w:sz w:val="28"/>
        </w:rPr>
      </w:pPr>
      <w:r>
        <w:rPr>
          <w:sz w:val="28"/>
        </w:rPr>
        <w:t>6.</w:t>
      </w:r>
      <w:ins w:id="60" w:author="Evelyn Elsesser" w:date="2001-06-26T11:05:00Z">
        <w:r>
          <w:rPr>
            <w:sz w:val="28"/>
          </w:rPr>
          <w:t>4</w:t>
        </w:r>
      </w:ins>
      <w:del w:id="61" w:author="Evelyn Elsesser" w:date="2001-06-26T11:05:00Z">
        <w:r>
          <w:rPr>
            <w:sz w:val="28"/>
          </w:rPr>
          <w:delText>3</w:delText>
        </w:r>
      </w:del>
      <w:r>
        <w:rPr>
          <w:sz w:val="28"/>
        </w:rPr>
        <w:tab/>
        <w:t xml:space="preserve">No allocation of past debt or forward obligations to new or incremental load served by new or expanded customer-specific generation.  </w:t>
      </w:r>
    </w:p>
    <w:p>
      <w:pPr>
        <w:pStyle w:val="Normal"/>
        <w:rPr>
          <w:b/>
          <w:sz w:val="28"/>
        </w:rPr>
      </w:pPr>
      <w:r>
        <w:rPr>
          <w:b/>
          <w:sz w:val="28"/>
        </w:rPr>
      </w:r>
    </w:p>
    <w:p>
      <w:pPr>
        <w:pStyle w:val="Heading1"/>
        <w:keepLines/>
        <w:ind w:hanging="720" w:start="720" w:end="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BodyText"/>
        <w:rPr>
          <w:rFonts w:ascii="Times New Roman" w:hAnsi="Times New Roman" w:cs="Times New Roman"/>
          <w:sz w:val="28"/>
          <w:ins w:id="63" w:author="Evelyn Elsesser" w:date="2001-06-26T11:22:00Z"/>
        </w:rPr>
      </w:pPr>
      <w:ins w:id="62" w:author="Evelyn Elsesser" w:date="2001-06-26T11:22:00Z">
        <w:r>
          <w:rPr>
            <w:rFonts w:cs="Times New Roman" w:ascii="Times New Roman" w:hAnsi="Times New Roman"/>
            <w:sz w:val="28"/>
          </w:rPr>
        </w:r>
      </w:ins>
    </w:p>
    <w:p>
      <w:pPr>
        <w:pStyle w:val="BodyText"/>
        <w:numPr>
          <w:ilvl w:val="2"/>
          <w:numId w:val="4"/>
        </w:numPr>
        <w:rPr>
          <w:rFonts w:ascii="Times New Roman" w:hAnsi="Times New Roman" w:cs="Times New Roman"/>
          <w:sz w:val="28"/>
          <w:ins w:id="65" w:author="Evelyn Elsesser" w:date="2001-06-26T11:24:00Z"/>
        </w:rPr>
      </w:pPr>
      <w:ins w:id="64" w:author="Evelyn Elsesser" w:date="2001-06-26T11:22:00Z">
        <w:r>
          <w:rPr>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cost-efficient operations and facilitating seamless market transactions while preserving the benefits of existing contractual rights.</w:t>
        </w:r>
      </w:ins>
    </w:p>
    <w:p>
      <w:pPr>
        <w:pStyle w:val="BodyText"/>
        <w:rPr>
          <w:rFonts w:ascii="Times New Roman" w:hAnsi="Times New Roman" w:cs="Times New Roman"/>
          <w:sz w:val="28"/>
          <w:ins w:id="67" w:author="Evelyn Elsesser" w:date="2001-06-26T11:24:00Z"/>
        </w:rPr>
      </w:pPr>
      <w:ins w:id="66" w:author="Evelyn Elsesser" w:date="2001-06-26T11:24:00Z">
        <w:r>
          <w:rPr>
            <w:rFonts w:cs="Times New Roman" w:ascii="Times New Roman" w:hAnsi="Times New Roman"/>
            <w:sz w:val="28"/>
          </w:rPr>
        </w:r>
      </w:ins>
    </w:p>
    <w:p>
      <w:pPr>
        <w:pStyle w:val="BodyText"/>
        <w:numPr>
          <w:ilvl w:val="2"/>
          <w:numId w:val="4"/>
        </w:numPr>
        <w:rPr>
          <w:rFonts w:ascii="Times New Roman" w:hAnsi="Times New Roman" w:cs="Times New Roman"/>
          <w:sz w:val="28"/>
          <w:ins w:id="71" w:author="Evelyn Elsesser" w:date="2001-06-26T11:26:00Z"/>
        </w:rPr>
      </w:pPr>
      <w:ins w:id="68" w:author="Evelyn Elsesser" w:date="2001-06-26T11:24:00Z">
        <w:r>
          <w:rPr>
            <w:sz w:val="28"/>
          </w:rPr>
          <w:t xml:space="preserve">Transmission system operations now conducted by the CA ISO should be fundamentally reformed to reduce both grid management costs </w:t>
        </w:r>
      </w:ins>
      <w:ins w:id="69" w:author="Evelyn Elsesser" w:date="2001-06-26T11:24:00Z">
        <w:r>
          <w:rPr>
            <w:sz w:val="28"/>
            <w:u w:val="single"/>
          </w:rPr>
          <w:t>and</w:t>
        </w:r>
      </w:ins>
      <w:ins w:id="70" w:author="Evelyn Elsesser" w:date="2001-06-26T11:24:00Z">
        <w:r>
          <w:rPr>
            <w:sz w:val="28"/>
          </w:rPr>
          <w:t xml:space="preserve"> total system costs, maintain system reliability, facilitate orderly regional markets, lower generation reserve margins required to operate the system, and facilitate the interconnection and operation of non-traditional resources such as demand side bidding, customer-specific generation, and intermittent resources.</w:t>
        </w:r>
      </w:ins>
    </w:p>
    <w:p>
      <w:pPr>
        <w:pStyle w:val="BodyText"/>
        <w:rPr>
          <w:rFonts w:ascii="Times New Roman" w:hAnsi="Times New Roman" w:cs="Times New Roman"/>
          <w:sz w:val="28"/>
          <w:ins w:id="73" w:author="Evelyn Elsesser" w:date="2001-06-26T11:26:00Z"/>
        </w:rPr>
      </w:pPr>
      <w:ins w:id="72" w:author="Evelyn Elsesser" w:date="2001-06-26T11:26:00Z">
        <w:r>
          <w:rPr>
            <w:rFonts w:cs="Times New Roman" w:ascii="Times New Roman" w:hAnsi="Times New Roman"/>
            <w:sz w:val="28"/>
          </w:rPr>
        </w:r>
      </w:ins>
    </w:p>
    <w:p>
      <w:pPr>
        <w:pStyle w:val="BodyText"/>
        <w:numPr>
          <w:ilvl w:val="2"/>
          <w:numId w:val="4"/>
        </w:numPr>
        <w:rPr>
          <w:rFonts w:ascii="Times New Roman" w:hAnsi="Times New Roman" w:cs="Times New Roman"/>
          <w:sz w:val="28"/>
          <w:ins w:id="76" w:author="Evelyn Elsesser" w:date="2001-06-26T11:22:00Z"/>
        </w:rPr>
      </w:pPr>
      <w:ins w:id="74" w:author="Evelyn Elsesser" w:date="2001-06-26T11:26:00Z">
        <w:r>
          <w:rPr>
            <w:sz w:val="28"/>
          </w:rPr>
          <w:t>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w:t>
        </w:r>
      </w:ins>
      <w:ins w:id="75" w:author="Evelyn Elsesser" w:date="2001-06-26T11:24:00Z">
        <w:r>
          <w:rPr>
            <w:sz w:val="28"/>
          </w:rPr>
          <w:t xml:space="preserve">   </w:t>
        </w:r>
      </w:ins>
    </w:p>
    <w:p>
      <w:pPr>
        <w:pStyle w:val="Heading4"/>
        <w:ind w:hanging="0" w:start="720" w:end="0"/>
        <w:rPr>
          <w:rFonts w:ascii="Times New Roman" w:hAnsi="Times New Roman" w:cs="Times New Roman"/>
          <w:sz w:val="28"/>
        </w:rPr>
      </w:pPr>
      <w:r>
        <w:rPr>
          <w:rFonts w:cs="Times New Roman" w:ascii="Times New Roman" w:hAnsi="Times New Roman"/>
          <w:sz w:val="28"/>
        </w:rPr>
        <w:t>Option 2:</w:t>
        <w:tab/>
        <w:t xml:space="preserve">The State purchases an option to </w:t>
      </w:r>
      <w:ins w:id="77" w:author="Evelyn Elsesser" w:date="2001-06-26T11:14:00Z">
        <w:r>
          <w:rPr>
            <w:rFonts w:cs="Times New Roman" w:ascii="Times New Roman" w:hAnsi="Times New Roman"/>
            <w:sz w:val="28"/>
          </w:rPr>
          <w:t xml:space="preserve">acquire </w:t>
        </w:r>
      </w:ins>
      <w:r>
        <w:rPr>
          <w:rFonts w:cs="Times New Roman" w:ascii="Times New Roman" w:hAnsi="Times New Roman"/>
          <w:sz w:val="28"/>
        </w:rPr>
        <w:t>the assets</w:t>
      </w:r>
      <w:ins w:id="78" w:author="Evelyn Elsesser" w:date="2001-06-26T12:11:00Z">
        <w:r>
          <w:rPr>
            <w:rFonts w:cs="Times New Roman" w:ascii="Times New Roman" w:hAnsi="Times New Roman"/>
            <w:sz w:val="28"/>
          </w:rPr>
          <w:t>.</w:t>
        </w:r>
      </w:ins>
    </w:p>
    <w:p>
      <w:pPr>
        <w:pStyle w:val="Normal"/>
        <w:rPr>
          <w:rFonts w:ascii="Times New Roman" w:hAnsi="Times New Roman" w:cs="Times New Roman"/>
          <w:sz w:val="28"/>
        </w:rPr>
      </w:pPr>
      <w:r>
        <w:rPr>
          <w:rFonts w:cs="Times New Roman"/>
          <w:sz w:val="28"/>
        </w:rPr>
      </w:r>
    </w:p>
    <w:p>
      <w:pPr>
        <w:pStyle w:val="BodyTextIndent3"/>
        <w:rPr/>
      </w:pPr>
      <w:r>
        <w:rPr/>
        <w:t xml:space="preserve">This approach assumes that the State would purchase an option from SCE, essentially the right for a set number of years, to purchase the transmission assets if it is deemed in the State’s interest.  </w:t>
      </w:r>
      <w:ins w:id="79" w:author="Evelyn Elsesser" w:date="2001-06-26T11:13:00Z">
        <w:r>
          <w:rPr/>
          <w:t xml:space="preserve">The primary purpose of the transaction would be to provide additional revenues for returning SCE to financial stability, rather than </w:t>
        </w:r>
      </w:ins>
      <w:ins w:id="80" w:author="Evelyn Elsesser" w:date="2001-06-26T12:12:00Z">
        <w:r>
          <w:rPr/>
          <w:t xml:space="preserve">to assume operation of </w:t>
        </w:r>
      </w:ins>
      <w:ins w:id="81" w:author="Evelyn Elsesser" w:date="2001-06-26T11:13:00Z">
        <w:r>
          <w:rPr/>
          <w:t xml:space="preserve">the grid.  </w:t>
        </w:r>
      </w:ins>
      <w:del w:id="82" w:author="Evelyn Elsesser" w:date="2001-06-26T11:14:00Z">
        <w:r>
          <w:rPr/>
          <w:delText xml:space="preserve">SCE would then use the option fee to help restore its financial stability.  </w:delText>
        </w:r>
      </w:del>
      <w:r>
        <w:rPr/>
        <w:t>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fee would be used to reduce the SCE Net Undercollected Amount.  The amount of the option fee would be determined by the State and SCE.  Upon exercise of the option, the option fee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 the provisions of Section 7.1.3 through 7.1.5 and 7.1.7 would apply.</w:t>
      </w:r>
    </w:p>
    <w:p>
      <w:pPr>
        <w:pStyle w:val="ListBullet2"/>
        <w:ind w:hanging="0" w:start="0" w:end="0"/>
        <w:rPr>
          <w:sz w:val="28"/>
        </w:rPr>
      </w:pPr>
      <w:r>
        <w:rPr>
          <w:sz w:val="28"/>
        </w:rPr>
      </w:r>
    </w:p>
    <w:p>
      <w:pPr>
        <w:pStyle w:val="ListBullet2"/>
        <w:numPr>
          <w:ilvl w:val="2"/>
          <w:numId w:val="7"/>
        </w:numPr>
        <w:rPr>
          <w:sz w:val="28"/>
        </w:rPr>
      </w:pPr>
      <w:r>
        <w:rPr>
          <w:sz w:val="28"/>
        </w:rPr>
        <w:t xml:space="preserve">Issuance of stock warrants could be </w:t>
      </w:r>
      <w:del w:id="83" w:author="Evelyn Elsesser" w:date="2001-06-26T12:18:00Z">
        <w:r>
          <w:rPr>
            <w:sz w:val="28"/>
          </w:rPr>
          <w:delText>used</w:delText>
        </w:r>
      </w:del>
      <w:ins w:id="84" w:author="Evelyn Elsesser" w:date="2001-06-26T12:18:00Z">
        <w:r>
          <w:rPr>
            <w:sz w:val="28"/>
          </w:rPr>
          <w:t>considered</w:t>
        </w:r>
      </w:ins>
      <w:del w:id="85" w:author="Evelyn Elsesser" w:date="2001-06-26T12:18:00Z">
        <w:r>
          <w:rPr>
            <w:sz w:val="28"/>
          </w:rPr>
          <w:delText xml:space="preserve"> </w:delText>
        </w:r>
      </w:del>
      <w:r>
        <w:rPr>
          <w:sz w:val="28"/>
        </w:rPr>
        <w:t>in conjunction with the transmission purchase option approach to maximize the opportunity for state assistance in resolution of the crisis.</w:t>
      </w:r>
      <w:ins w:id="86" w:author="Evelyn Elsesser" w:date="2001-06-26T12:19:00Z">
        <w:r>
          <w:rPr>
            <w:sz w:val="28"/>
          </w:rPr>
          <w:t xml:space="preserve">  Material disagreement exists regarding whether this approach would be feasible in light of a variety of legal issues.</w:t>
        </w:r>
      </w:ins>
    </w:p>
    <w:p>
      <w:pPr>
        <w:pStyle w:val="ListBullet2"/>
        <w:rPr>
          <w:sz w:val="28"/>
        </w:rPr>
      </w:pPr>
      <w:r>
        <w:rPr>
          <w:sz w:val="28"/>
        </w:rPr>
      </w:r>
    </w:p>
    <w:p>
      <w:pPr>
        <w:pStyle w:val="ListBullet2"/>
        <w:rPr>
          <w:b/>
          <w:bCs/>
          <w:sz w:val="28"/>
        </w:rPr>
      </w:pPr>
      <w:r>
        <w:rPr>
          <w:b/>
          <w:bCs/>
          <w:sz w:val="28"/>
        </w:rPr>
      </w:r>
    </w:p>
    <w:p>
      <w:pPr>
        <w:pStyle w:val="Heading"/>
        <w:jc w:val="start"/>
        <w:rPr>
          <w:b w:val="false"/>
          <w:bCs w:val="false"/>
          <w:sz w:val="28"/>
        </w:rPr>
      </w:pPr>
      <w:r>
        <w:rPr>
          <w:b w:val="false"/>
          <w:bCs w:val="false"/>
          <w:sz w:val="28"/>
        </w:rPr>
      </w:r>
    </w:p>
    <w:p>
      <w:pPr>
        <w:pStyle w:val="Normal"/>
        <w:rPr>
          <w:sz w:val="28"/>
          <w:ins w:id="88" w:author="D.J. Smith" w:date="2001-06-26T16:16:00Z"/>
        </w:rPr>
      </w:pPr>
      <w:ins w:id="87" w:author="D.J. Smith" w:date="2001-06-26T16:16:00Z">
        <w:r>
          <w:rPr>
            <w:sz w:val="28"/>
          </w:rPr>
        </w:r>
      </w:ins>
    </w:p>
    <w:p>
      <w:pPr>
        <w:pStyle w:val="Normal"/>
        <w:rPr>
          <w:sz w:val="28"/>
          <w:ins w:id="90" w:author="D.J. Smith" w:date="2001-06-26T16:16:00Z"/>
        </w:rPr>
      </w:pPr>
      <w:ins w:id="89" w:author="D.J. Smith" w:date="2001-06-26T16:16:00Z">
        <w:r>
          <w:rPr>
            <w:sz w:val="28"/>
          </w:rPr>
        </w:r>
      </w:ins>
    </w:p>
    <w:p>
      <w:pPr>
        <w:pStyle w:val="Normal"/>
        <w:rPr>
          <w:sz w:val="28"/>
          <w:ins w:id="92" w:author="D.J. Smith" w:date="2001-06-26T16:16:00Z"/>
        </w:rPr>
      </w:pPr>
      <w:ins w:id="91" w:author="D.J. Smith" w:date="2001-06-26T16:16:00Z">
        <w:r>
          <w:rPr>
            <w:sz w:val="28"/>
          </w:rPr>
        </w:r>
      </w:ins>
    </w:p>
    <w:p>
      <w:pPr>
        <w:pStyle w:val="Normal"/>
        <w:rPr>
          <w:sz w:val="28"/>
        </w:rPr>
      </w:pPr>
      <w:r>
        <w:rPr>
          <w:sz w:val="28"/>
        </w:rPr>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t>Customer-Specific Generation</w:t>
      </w:r>
    </w:p>
    <w:p>
      <w:pPr>
        <w:pStyle w:val="ListBullet3"/>
        <w:tabs>
          <w:tab w:val="left" w:pos="720" w:leader="none"/>
        </w:tabs>
        <w:ind w:hanging="720" w:start="720" w:end="0"/>
        <w:rPr>
          <w:b/>
          <w:bCs/>
          <w:sz w:val="28"/>
        </w:rPr>
      </w:pPr>
      <w:r>
        <w:rPr>
          <w:b/>
          <w:bCs/>
          <w:sz w:val="28"/>
        </w:rPr>
      </w:r>
    </w:p>
    <w:p>
      <w:pPr>
        <w:pStyle w:val="ListBullet3"/>
        <w:tabs>
          <w:tab w:val="left" w:pos="720" w:leader="none"/>
        </w:tabs>
        <w:ind w:hanging="0" w:start="720" w:end="0"/>
        <w:rPr>
          <w:sz w:val="28"/>
          <w:del w:id="97" w:author="Evelyn Elsesser" w:date="2001-06-26T11:40:00Z"/>
        </w:rPr>
      </w:pPr>
      <w:r>
        <w:rPr>
          <w:b/>
          <w:bCs/>
          <w:sz w:val="28"/>
        </w:rPr>
        <w:t xml:space="preserve">Any solution should </w:t>
      </w:r>
      <w:ins w:id="93" w:author="Evelyn Elsesser" w:date="2001-06-20T15:01:00Z">
        <w:r>
          <w:rPr>
            <w:b/>
            <w:bCs/>
            <w:sz w:val="28"/>
          </w:rPr>
          <w:t xml:space="preserve">encourage </w:t>
        </w:r>
      </w:ins>
      <w:del w:id="94" w:author="Evelyn Elsesser" w:date="2001-06-20T15:01:00Z">
        <w:r>
          <w:rPr>
            <w:b/>
            <w:bCs/>
            <w:sz w:val="28"/>
          </w:rPr>
          <w:delText xml:space="preserve">consider encouraging </w:delText>
        </w:r>
      </w:del>
      <w:r>
        <w:rPr>
          <w:b/>
          <w:bCs/>
          <w:sz w:val="28"/>
        </w:rPr>
        <w:t>the development of customer-specific generation to increase</w:t>
      </w:r>
      <w:ins w:id="95" w:author="Evelyn Elsesser" w:date="2001-06-26T11:31:00Z">
        <w:r>
          <w:rPr>
            <w:b/>
            <w:bCs/>
            <w:sz w:val="28"/>
          </w:rPr>
          <w:t xml:space="preserve"> and diversify</w:t>
        </w:r>
      </w:ins>
      <w:r>
        <w:rPr>
          <w:b/>
          <w:bCs/>
          <w:sz w:val="28"/>
        </w:rPr>
        <w:t xml:space="preserve"> the state’s generation supply, relieve the demands on the state’s transmission grid and encourage self-reliance in energy cost and supply management by customers.  Material disagreement remains on the appropriate means to achieve these objectives</w:t>
      </w:r>
      <w:del w:id="96" w:author="Evelyn Elsesser" w:date="2001-06-26T11:40:00Z">
        <w:r>
          <w:rPr>
            <w:b/>
            <w:bCs/>
            <w:sz w:val="28"/>
          </w:rPr>
          <w:delText>.</w:delText>
        </w:r>
      </w:del>
    </w:p>
    <w:p>
      <w:pPr>
        <w:pStyle w:val="ListBullet3"/>
        <w:widowControl/>
        <w:tabs>
          <w:tab w:val="left" w:pos="720" w:leader="none"/>
        </w:tabs>
        <w:bidi w:val="0"/>
        <w:ind w:hanging="0" w:start="720" w:end="0"/>
        <w:rPr>
          <w:rFonts w:ascii="Times New Roman" w:hAnsi="Times New Roman" w:cs="Times New Roman"/>
          <w:sz w:val="28"/>
          <w:ins w:id="99" w:author="Evelyn Elsesser" w:date="2001-06-20T15:01:00Z"/>
        </w:rPr>
      </w:pPr>
      <w:ins w:id="98" w:author="Evelyn Elsesser" w:date="2001-06-20T15:01:00Z">
        <w:r>
          <w:rPr/>
          <w:tab/>
        </w:r>
      </w:ins>
    </w:p>
    <w:p>
      <w:pPr>
        <w:pStyle w:val="BodyText"/>
        <w:numPr>
          <w:ilvl w:val="2"/>
          <w:numId w:val="2"/>
        </w:numPr>
        <w:rPr>
          <w:rFonts w:ascii="Times New Roman" w:hAnsi="Times New Roman" w:cs="Times New Roman"/>
          <w:sz w:val="28"/>
          <w:ins w:id="101" w:author="Evelyn Elsesser" w:date="2001-06-26T11:28:00Z"/>
        </w:rPr>
      </w:pPr>
      <w:ins w:id="100" w:author="Evelyn Elsesser" w:date="2001-06-20T15:01:00Z">
        <w:r>
          <w:rPr>
            <w:rFonts w:cs="Times New Roman" w:ascii="Times New Roman" w:hAnsi="Times New Roman"/>
            <w:sz w:val="28"/>
          </w:rPr>
          <w:t>No exit fees would be imposed on incremental or departing load served by new or expanded customer-specific gas-fired or renewable generation to fund SCE Debt or CDWR forward obligations, provided that the generation is installed and operational not later than December 31, 2005, and meets applicable environmental standards.</w:t>
        </w:r>
      </w:ins>
    </w:p>
    <w:p>
      <w:pPr>
        <w:pStyle w:val="BodyText"/>
        <w:ind w:start="720" w:end="0"/>
        <w:rPr>
          <w:rFonts w:ascii="Times New Roman" w:hAnsi="Times New Roman" w:cs="Times New Roman"/>
          <w:sz w:val="28"/>
          <w:ins w:id="103" w:author="Evelyn Elsesser" w:date="2001-06-26T11:28:00Z"/>
        </w:rPr>
      </w:pPr>
      <w:ins w:id="102" w:author="Evelyn Elsesser" w:date="2001-06-26T11:28:00Z">
        <w:r>
          <w:rPr>
            <w:rFonts w:cs="Times New Roman" w:ascii="Times New Roman" w:hAnsi="Times New Roman"/>
            <w:sz w:val="28"/>
          </w:rPr>
        </w:r>
      </w:ins>
    </w:p>
    <w:p>
      <w:pPr>
        <w:pStyle w:val="BodyText"/>
        <w:numPr>
          <w:ilvl w:val="2"/>
          <w:numId w:val="2"/>
        </w:numPr>
        <w:rPr>
          <w:rFonts w:ascii="Times New Roman" w:hAnsi="Times New Roman" w:cs="Times New Roman"/>
          <w:sz w:val="28"/>
          <w:ins w:id="117" w:author="Evelyn Elsesser" w:date="2001-06-20T15:01:00Z"/>
        </w:rPr>
      </w:pPr>
      <w:ins w:id="104" w:author="Evelyn Elsesser" w:date="2001-06-26T11:28:00Z">
        <w:r>
          <w:rPr>
            <w:rFonts w:cs="Times New Roman" w:ascii="Times New Roman" w:hAnsi="Times New Roman"/>
            <w:sz w:val="28"/>
          </w:rPr>
          <w:t xml:space="preserve">As an alternative to Section 8.1.1, the state should adopt and implement a </w:t>
        </w:r>
      </w:ins>
      <w:ins w:id="105" w:author="Evelyn Elsesser" w:date="2001-06-26T11:34:00Z">
        <w:r>
          <w:rPr>
            <w:rFonts w:cs="Times New Roman" w:ascii="Times New Roman" w:hAnsi="Times New Roman"/>
            <w:sz w:val="28"/>
          </w:rPr>
          <w:t xml:space="preserve">substantial </w:t>
        </w:r>
      </w:ins>
      <w:ins w:id="106" w:author="Evelyn Elsesser" w:date="2001-06-26T11:28:00Z">
        <w:r>
          <w:rPr>
            <w:rFonts w:cs="Times New Roman" w:ascii="Times New Roman" w:hAnsi="Times New Roman"/>
            <w:sz w:val="28"/>
          </w:rPr>
          <w:t>demand reduction fund</w:t>
        </w:r>
      </w:ins>
      <w:ins w:id="107" w:author="Evelyn Elsesser" w:date="2001-06-26T11:34:00Z">
        <w:r>
          <w:rPr>
            <w:rFonts w:cs="Times New Roman" w:ascii="Times New Roman" w:hAnsi="Times New Roman"/>
            <w:sz w:val="28"/>
          </w:rPr>
          <w:t xml:space="preserve"> </w:t>
        </w:r>
      </w:ins>
      <w:ins w:id="108" w:author="Evelyn Elsesser" w:date="2001-06-26T11:28:00Z">
        <w:r>
          <w:rPr>
            <w:rFonts w:cs="Times New Roman" w:ascii="Times New Roman" w:hAnsi="Times New Roman"/>
            <w:sz w:val="28"/>
          </w:rPr>
          <w:t xml:space="preserve">to encourage the development of customer-specific generation.  Payments from the fund would be available to customers installing gas-fired or renewable generation </w:t>
        </w:r>
      </w:ins>
      <w:ins w:id="109" w:author="Evelyn Elsesser" w:date="2001-06-26T11:35:00Z">
        <w:r>
          <w:rPr>
            <w:rFonts w:cs="Times New Roman" w:ascii="Times New Roman" w:hAnsi="Times New Roman"/>
            <w:sz w:val="28"/>
          </w:rPr>
          <w:t xml:space="preserve">that is located </w:t>
        </w:r>
      </w:ins>
      <w:ins w:id="110" w:author="Evelyn Elsesser" w:date="2001-06-26T11:30:00Z">
        <w:r>
          <w:rPr>
            <w:rFonts w:cs="Times New Roman" w:ascii="Times New Roman" w:hAnsi="Times New Roman"/>
            <w:sz w:val="28"/>
          </w:rPr>
          <w:t>on or nearby the site of use</w:t>
        </w:r>
      </w:ins>
      <w:ins w:id="111" w:author="Evelyn Elsesser" w:date="2001-06-26T11:36:00Z">
        <w:r>
          <w:rPr>
            <w:rFonts w:cs="Times New Roman" w:ascii="Times New Roman" w:hAnsi="Times New Roman"/>
            <w:sz w:val="28"/>
          </w:rPr>
          <w:t xml:space="preserve"> (consistent with existing law)</w:t>
        </w:r>
      </w:ins>
      <w:ins w:id="112" w:author="Evelyn Elsesser" w:date="2001-06-26T11:30:00Z">
        <w:r>
          <w:rPr>
            <w:rFonts w:cs="Times New Roman" w:ascii="Times New Roman" w:hAnsi="Times New Roman"/>
            <w:sz w:val="28"/>
          </w:rPr>
          <w:t xml:space="preserve"> </w:t>
        </w:r>
      </w:ins>
      <w:ins w:id="113" w:author="Evelyn Elsesser" w:date="2001-06-26T11:35:00Z">
        <w:r>
          <w:rPr>
            <w:rFonts w:cs="Times New Roman" w:ascii="Times New Roman" w:hAnsi="Times New Roman"/>
            <w:sz w:val="28"/>
          </w:rPr>
          <w:t xml:space="preserve">and </w:t>
        </w:r>
      </w:ins>
      <w:ins w:id="114" w:author="Evelyn Elsesser" w:date="2001-06-26T11:29:00Z">
        <w:r>
          <w:rPr>
            <w:rFonts w:cs="Times New Roman" w:ascii="Times New Roman" w:hAnsi="Times New Roman"/>
            <w:sz w:val="28"/>
          </w:rPr>
          <w:t>that would be operational not later than December 31, 2005</w:t>
        </w:r>
      </w:ins>
      <w:ins w:id="115" w:author="Evelyn Elsesser" w:date="2001-06-26T11:35:00Z">
        <w:r>
          <w:rPr>
            <w:rFonts w:cs="Times New Roman" w:ascii="Times New Roman" w:hAnsi="Times New Roman"/>
            <w:sz w:val="28"/>
          </w:rPr>
          <w:t>,</w:t>
        </w:r>
      </w:ins>
      <w:ins w:id="116" w:author="Evelyn Elsesser" w:date="2001-06-26T11:29:00Z">
        <w:r>
          <w:rPr>
            <w:rFonts w:cs="Times New Roman" w:ascii="Times New Roman" w:hAnsi="Times New Roman"/>
            <w:sz w:val="28"/>
          </w:rPr>
          <w:t xml:space="preserve"> and meets applicable environmental standards.</w:t>
        </w:r>
      </w:ins>
    </w:p>
    <w:p>
      <w:pPr>
        <w:pStyle w:val="BodyText"/>
        <w:rPr>
          <w:rFonts w:ascii="Times New Roman" w:hAnsi="Times New Roman" w:cs="Times New Roman"/>
          <w:sz w:val="28"/>
          <w:ins w:id="119" w:author="Evelyn Elsesser" w:date="2001-06-20T15:01:00Z"/>
        </w:rPr>
      </w:pPr>
      <w:ins w:id="118" w:author="Evelyn Elsesser" w:date="2001-06-20T15:01:00Z">
        <w:r>
          <w:rPr>
            <w:rFonts w:cs="Times New Roman" w:ascii="Times New Roman" w:hAnsi="Times New Roman"/>
            <w:sz w:val="28"/>
          </w:rPr>
        </w:r>
      </w:ins>
    </w:p>
    <w:p>
      <w:pPr>
        <w:pStyle w:val="BodyText"/>
        <w:numPr>
          <w:ilvl w:val="2"/>
          <w:numId w:val="2"/>
        </w:numPr>
        <w:rPr>
          <w:rFonts w:ascii="Times New Roman" w:hAnsi="Times New Roman" w:cs="Times New Roman"/>
          <w:sz w:val="28"/>
          <w:ins w:id="123" w:author="Evelyn Elsesser" w:date="2001-06-20T15:01:00Z"/>
        </w:rPr>
      </w:pPr>
      <w:ins w:id="120" w:author="Evelyn Elsesser" w:date="2001-06-20T15:01:00Z">
        <w:r>
          <w:rPr>
            <w:rFonts w:cs="Times New Roman" w:ascii="Times New Roman" w:hAnsi="Times New Roman"/>
            <w:sz w:val="28"/>
          </w:rPr>
          <w:t xml:space="preserve">The State would adopt and retain metering principles for load served by customer-specific generation, which </w:t>
        </w:r>
      </w:ins>
      <w:ins w:id="121" w:author="Evelyn Elsesser" w:date="2001-06-26T11:38:00Z">
        <w:r>
          <w:rPr>
            <w:rFonts w:cs="Times New Roman" w:ascii="Times New Roman" w:hAnsi="Times New Roman"/>
            <w:sz w:val="28"/>
          </w:rPr>
          <w:t xml:space="preserve">net customer load with customer-specific generation for purposes of determining transmission grid use, </w:t>
        </w:r>
      </w:ins>
      <w:ins w:id="122" w:author="Evelyn Elsesser" w:date="2001-06-20T15:01:00Z">
        <w:r>
          <w:rPr>
            <w:rFonts w:cs="Times New Roman" w:ascii="Times New Roman" w:hAnsi="Times New Roman"/>
            <w:sz w:val="28"/>
          </w:rPr>
          <w:t>thereby avoiding increases metering costs, Transmission Access Charges, Grid Management Charges, ancillary services costs, and scheduling charges.</w:t>
        </w:r>
      </w:ins>
    </w:p>
    <w:p>
      <w:pPr>
        <w:pStyle w:val="BodyText"/>
        <w:rPr>
          <w:rFonts w:ascii="Times New Roman" w:hAnsi="Times New Roman" w:cs="Times New Roman"/>
          <w:sz w:val="28"/>
          <w:ins w:id="125" w:author="Evelyn Elsesser" w:date="2001-06-20T15:01:00Z"/>
        </w:rPr>
      </w:pPr>
      <w:ins w:id="124" w:author="Evelyn Elsesser" w:date="2001-06-20T15:01:00Z">
        <w:r>
          <w:rPr>
            <w:rFonts w:cs="Times New Roman" w:ascii="Times New Roman" w:hAnsi="Times New Roman"/>
            <w:sz w:val="28"/>
          </w:rPr>
        </w:r>
      </w:ins>
    </w:p>
    <w:p>
      <w:pPr>
        <w:pStyle w:val="BodyText"/>
        <w:ind w:hanging="720" w:start="1440" w:end="0"/>
        <w:rPr>
          <w:rFonts w:ascii="Times New Roman" w:hAnsi="Times New Roman" w:cs="Times New Roman"/>
          <w:ins w:id="127" w:author="Evelyn Elsesser" w:date="2001-06-20T15:01:00Z"/>
        </w:rPr>
      </w:pPr>
      <w:ins w:id="126" w:author="Evelyn Elsesser" w:date="2001-06-20T15:01:00Z">
        <w:r>
          <w:rPr>
            <w:rFonts w:cs="Times New Roman" w:ascii="Times New Roman" w:hAnsi="Times New Roman"/>
            <w:sz w:val="28"/>
          </w:rPr>
          <w:t>8.1.4</w:t>
          <w:tab/>
          <w:t>In recognition of the integrated relationship between customer-specific generation and its load, the state would ensure that customer-specific generation is not subject to CPUC or ISO regulation of operations.</w:t>
        </w:r>
      </w:ins>
    </w:p>
    <w:p>
      <w:pPr>
        <w:pStyle w:val="ListBullet3"/>
        <w:ind w:hanging="0" w:start="0" w:end="0"/>
        <w:rPr>
          <w:rFonts w:ascii="Times New Roman" w:hAnsi="Times New Roman" w:cs="Times New Roman"/>
          <w:sz w:val="28"/>
        </w:rPr>
      </w:pPr>
      <w:r>
        <w:rPr>
          <w:rFonts w:cs="Times New Roman"/>
          <w:sz w:val="28"/>
        </w:rPr>
      </w:r>
    </w:p>
    <w:p>
      <w:pPr>
        <w:pStyle w:val="BodyText"/>
        <w:ind w:hanging="720" w:start="1440" w:end="0"/>
        <w:rPr>
          <w:i/>
          <w:i/>
          <w:sz w:val="28"/>
        </w:rPr>
      </w:pPr>
      <w:r>
        <w:rPr>
          <w:i/>
          <w:sz w:val="28"/>
        </w:rPr>
      </w:r>
    </w:p>
    <w:p>
      <w:pPr>
        <w:pStyle w:val="ListBullet3"/>
        <w:ind w:hanging="0" w:start="0" w:end="0"/>
        <w:rPr>
          <w:i/>
          <w:i/>
          <w:sz w:val="28"/>
        </w:rPr>
      </w:pPr>
      <w:r>
        <w:rPr>
          <w:i/>
          <w:sz w:val="28"/>
        </w:rPr>
      </w:r>
    </w:p>
    <w:p>
      <w:pPr>
        <w:pStyle w:val="Heading1"/>
        <w:ind w:hanging="0" w:start="0"/>
        <w:rPr>
          <w:b/>
          <w:sz w:val="28"/>
          <w:highlight w:val="yellow"/>
        </w:rPr>
      </w:pPr>
      <w:r>
        <w:rPr>
          <w:b/>
          <w:sz w:val="28"/>
        </w:rPr>
        <w:t>9.</w:t>
        <w:tab/>
      </w:r>
      <w:r>
        <w:rPr>
          <w:b/>
          <w:smallCaps/>
          <w:sz w:val="28"/>
        </w:rPr>
        <w:t>Renewable Energy</w:t>
      </w:r>
      <w:ins w:id="128" w:author="Evelyn Elsesser" w:date="2001-06-18T21:20:00Z">
        <w:r>
          <w:rPr>
            <w:b/>
            <w:sz w:val="28"/>
          </w:rPr>
          <w:t xml:space="preserve"> </w:t>
        </w:r>
      </w:ins>
    </w:p>
    <w:p>
      <w:pPr>
        <w:pStyle w:val="Normal"/>
        <w:rPr>
          <w:b/>
          <w:sz w:val="28"/>
          <w:highlight w:val="yellow"/>
        </w:rPr>
      </w:pPr>
      <w:r>
        <w:rPr>
          <w:b/>
          <w:sz w:val="28"/>
          <w:highlight w:val="yellow"/>
        </w:rPr>
      </w:r>
    </w:p>
    <w:p>
      <w:pPr>
        <w:pStyle w:val="Normal"/>
        <w:rPr/>
      </w:pPr>
      <w:r>
        <w:rPr>
          <w:b/>
          <w:bCs/>
          <w:sz w:val="28"/>
        </w:rPr>
        <w:t xml:space="preserve">Uncertainty in the California power markets has eroded opportunities for renewable resources, and has underscored the need for a long-term market to maintain and expand the existing renewable resource base. </w:t>
      </w:r>
      <w:del w:id="129" w:author="Evelyn Elsesser" w:date="2001-06-26T11:51:00Z">
        <w:r>
          <w:rPr>
            <w:b/>
            <w:bCs/>
            <w:sz w:val="28"/>
          </w:rPr>
          <w:delText xml:space="preserve">  </w:delText>
        </w:r>
      </w:del>
      <w:r>
        <w:rPr>
          <w:b/>
          <w:bCs/>
          <w:sz w:val="28"/>
        </w:rPr>
        <w:t xml:space="preserv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bCs/>
          <w:sz w:val="28"/>
        </w:rPr>
      </w:pPr>
      <w:r>
        <w:rPr>
          <w:b/>
          <w:bCs/>
          <w:sz w:val="28"/>
        </w:rPr>
      </w:r>
    </w:p>
    <w:p>
      <w:pPr>
        <w:pStyle w:val="Normal"/>
        <w:ind w:hanging="720" w:start="1440" w:end="0"/>
        <w:rPr/>
      </w:pPr>
      <w:r>
        <w:rPr>
          <w:sz w:val="28"/>
        </w:rPr>
        <w:t xml:space="preserve">9.1    </w:t>
        <w:tab/>
        <w:t>A new Renewable Portfolio Standard applicable to all load-serving entities,</w:t>
      </w:r>
      <w:ins w:id="130" w:author="Evelyn Elsesser" w:date="2001-06-26T11:52:00Z">
        <w:r>
          <w:rPr>
            <w:sz w:val="28"/>
          </w:rPr>
          <w:t xml:space="preserve"> potentially excluding customer-specific generation,</w:t>
        </w:r>
      </w:ins>
      <w:r>
        <w:rPr>
          <w:sz w:val="28"/>
        </w:rPr>
        <w:t xml:space="preserve">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 xml:space="preserve">9.2    </w:t>
        <w:tab/>
      </w:r>
      <w:ins w:id="131" w:author="Evelyn Elsesser" w:date="2001-06-26T11:53:00Z">
        <w:r>
          <w:rPr>
            <w:rFonts w:cs="Times New Roman" w:ascii="Times New Roman" w:hAnsi="Times New Roman"/>
            <w:b w:val="false"/>
            <w:bCs/>
            <w:sz w:val="28"/>
          </w:rPr>
          <w:t xml:space="preserve">The Renewable Portfolio Standard would complement the existing public goods program, with no additional funding.  Together, the RPS and the public goods program would facilitate the development of, and energy production by, new renewable resources, and will provide California with fuel diversity and environmental benefits.  </w:t>
        </w:r>
      </w:ins>
    </w:p>
    <w:p>
      <w:pPr>
        <w:pStyle w:val="Normal"/>
        <w:tabs>
          <w:tab w:val="clear" w:pos="720"/>
          <w:tab w:val="left" w:pos="1440" w:leader="none"/>
        </w:tabs>
        <w:ind w:hanging="720" w:start="1440" w:end="0"/>
        <w:rPr>
          <w:rFonts w:ascii="Times New Roman" w:hAnsi="Times New Roman" w:cs="Times New Roman"/>
          <w:b/>
          <w:bCs/>
          <w:sz w:val="28"/>
        </w:rPr>
      </w:pPr>
      <w:r>
        <w:rPr>
          <w:rFonts w:cs="Times New Roman"/>
          <w:b/>
          <w:bCs/>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bCs/>
          <w:sz w:val="28"/>
        </w:rPr>
        <w:t xml:space="preserve">9.3    </w:t>
        <w:tab/>
        <w:t>The California Energy Commission would facilitate the development of a system of tradable credits to implement the Renewable Portfolio Standard at least cost.  To meet the standard, each load-serving entity</w:t>
      </w:r>
      <w:ins w:id="132" w:author="Evelyn Elsesser" w:date="2001-06-26T11:55:00Z">
        <w:r>
          <w:rPr>
            <w:rFonts w:cs="Times New Roman" w:ascii="Times New Roman" w:hAnsi="Times New Roman"/>
            <w:b w:val="false"/>
            <w:bCs/>
            <w:sz w:val="28"/>
          </w:rPr>
          <w:t>, potentially excluding customer-specific generation,</w:t>
        </w:r>
      </w:ins>
      <w:r>
        <w:rPr>
          <w:rFonts w:cs="Times New Roman" w:ascii="Times New Roman" w:hAnsi="Times New Roman"/>
          <w:b w:val="false"/>
          <w:bCs/>
          <w:sz w:val="28"/>
        </w:rPr>
        <w:t xml:space="preserve">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hanging="720" w:start="1440" w:end="0"/>
        <w:rPr>
          <w:del w:id="133" w:author="Evelyn Elsesser" w:date="2001-06-26T11:55:00Z"/>
        </w:rPr>
      </w:pPr>
      <w:r>
        <w:rPr/>
        <w:t>9.4    Transmission access and upgrades necessary to meet the state policy of expanding renewable energy shall be carried out by the transmission owner and the system operator as expeditiously as possible.</w:t>
      </w:r>
    </w:p>
    <w:p>
      <w:pPr>
        <w:pStyle w:val="BodyText2"/>
        <w:widowControl/>
        <w:tabs>
          <w:tab w:val="clear" w:pos="720"/>
          <w:tab w:val="left" w:pos="1440" w:leader="none"/>
        </w:tabs>
        <w:bidi w:val="0"/>
        <w:ind w:hanging="720" w:start="1440" w:end="0"/>
        <w:rPr/>
      </w:pPr>
      <w:r>
        <w:rPr/>
      </w:r>
    </w:p>
    <w:p>
      <w:pPr>
        <w:pStyle w:val="Heading1"/>
        <w:ind w:hanging="0" w:start="0"/>
        <w:rPr>
          <w:b/>
          <w:bCs/>
          <w:smallCaps/>
          <w:sz w:val="28"/>
        </w:rPr>
      </w:pPr>
      <w:r>
        <w:rPr>
          <w:b/>
          <w:bCs/>
          <w:smallCaps/>
          <w:sz w:val="28"/>
        </w:rPr>
        <w:t>10.</w:t>
        <w:tab/>
        <w:t>Environmental Stewardship</w:t>
      </w:r>
    </w:p>
    <w:p>
      <w:pPr>
        <w:pStyle w:val="Normal"/>
        <w:rPr>
          <w:b/>
          <w:bCs/>
          <w:smallCaps/>
          <w:sz w:val="28"/>
          <w:ins w:id="135" w:author="Evelyn Elsesser" w:date="2001-06-26T11:56:00Z"/>
        </w:rPr>
      </w:pPr>
      <w:ins w:id="134" w:author="Evelyn Elsesser" w:date="2001-06-26T11:56:00Z">
        <w:r>
          <w:rPr>
            <w:b/>
            <w:bCs/>
            <w:smallCaps/>
            <w:sz w:val="28"/>
          </w:rPr>
        </w:r>
      </w:ins>
    </w:p>
    <w:p>
      <w:pPr>
        <w:pStyle w:val="BodyText3"/>
        <w:rPr>
          <w:ins w:id="137" w:author="Evelyn Elsesser" w:date="2001-06-26T11:56:00Z"/>
        </w:rPr>
      </w:pPr>
      <w:ins w:id="136" w:author="Evelyn Elsesser" w:date="2001-06-26T11:56:00Z">
        <w:r>
          <w:rPr/>
          <w:t>Any agreement should protect the disposition and management of environmentally sensitive utility lands, and guarantee that the operations of hydroelectric facilities support specific commitments to restore aquatic environments affected by their operations.</w:t>
        </w:r>
      </w:ins>
    </w:p>
    <w:p>
      <w:pPr>
        <w:pStyle w:val="Normal"/>
        <w:rPr>
          <w:sz w:val="28"/>
        </w:rPr>
      </w:pPr>
      <w:r>
        <w:rPr>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br/>
      </w:r>
      <w:r>
        <w:br w:type="page"/>
      </w:r>
    </w:p>
    <w:p>
      <w:pPr>
        <w:pStyle w:val="BodyText2"/>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b w:val="false"/>
          <w:bCs/>
          <w:sz w:val="28"/>
        </w:rPr>
      </w:r>
    </w:p>
    <w:p>
      <w:pPr>
        <w:pStyle w:val="BodyText2"/>
        <w:ind w:hanging="720" w:start="720" w:end="0"/>
        <w:jc w:val="center"/>
        <w:rPr/>
      </w:pPr>
      <w:r>
        <w:rPr/>
      </w:r>
    </w:p>
    <w:p>
      <w:pPr>
        <w:pStyle w:val="BodyText2"/>
        <w:ind w:hanging="720" w:start="720" w:end="0"/>
        <w:jc w:val="center"/>
        <w:rPr>
          <w:b/>
          <w:bCs/>
        </w:rPr>
      </w:pPr>
      <w:r>
        <w:rPr>
          <w:b/>
          <w:bCs/>
        </w:rPr>
        <w:t>APPENDIX A</w:t>
      </w:r>
    </w:p>
    <w:p>
      <w:pPr>
        <w:pStyle w:val="BodyText2"/>
        <w:ind w:hanging="720" w:start="720" w:end="0"/>
        <w:jc w:val="center"/>
        <w:rPr>
          <w:b/>
          <w:bCs/>
        </w:rPr>
      </w:pPr>
      <w:r>
        <w:rPr>
          <w:b/>
          <w:bCs/>
        </w:rPr>
      </w:r>
    </w:p>
    <w:p>
      <w:pPr>
        <w:pStyle w:val="BodyText2"/>
        <w:ind w:hanging="720" w:start="720" w:end="0"/>
        <w:jc w:val="center"/>
        <w:rPr>
          <w:b/>
          <w:bCs/>
        </w:rPr>
      </w:pPr>
      <w:r>
        <w:rPr>
          <w:b/>
          <w:bCs/>
        </w:rPr>
        <w:t>“</w:t>
      </w:r>
      <w:r>
        <w:rPr>
          <w:b/>
          <w:bCs/>
        </w:rPr>
        <w:t>Net Undercollected Amount”</w:t>
      </w:r>
    </w:p>
    <w:p>
      <w:pPr>
        <w:pStyle w:val="BodyText2"/>
        <w:ind w:hanging="720" w:start="720" w:end="0"/>
        <w:jc w:val="center"/>
        <w:rPr>
          <w:b/>
          <w:bCs/>
        </w:rPr>
      </w:pPr>
      <w:r>
        <w:rPr>
          <w:b/>
          <w:bCs/>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t xml:space="preserve"> </w:t>
      </w:r>
      <w:r>
        <w:rPr>
          <w:rFonts w:cs="Times New Roman" w:ascii="Times New Roman" w:hAnsi="Times New Roman"/>
          <w:sz w:val="28"/>
        </w:rPr>
        <w:t>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entury Schoolbook">
    <w:charset w:val="00" w:characterSet="windows-1252"/>
    <w:family w:val="roman"/>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15</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4"/>
      <w:numFmt w:val="decimal"/>
      <w:lvlText w:val="%1"/>
      <w:lvlJc w:val="start"/>
      <w:pPr>
        <w:tabs>
          <w:tab w:val="num" w:pos="555"/>
        </w:tabs>
        <w:ind w:start="555" w:hanging="555"/>
      </w:pPr>
      <w:rPr>
        <w:b w:val="false"/>
      </w:rPr>
    </w:lvl>
    <w:lvl w:ilvl="1">
      <w:start w:val="1"/>
      <w:numFmt w:val="decimal"/>
      <w:lvlText w:val="%1.%2"/>
      <w:lvlJc w:val="start"/>
      <w:pPr>
        <w:tabs>
          <w:tab w:val="num" w:pos="915"/>
        </w:tabs>
        <w:ind w:start="915" w:hanging="555"/>
      </w:pPr>
      <w:rPr>
        <w:b w:val="false"/>
      </w:rPr>
    </w:lvl>
    <w:lvl w:ilvl="2">
      <w:start w:val="1"/>
      <w:numFmt w:val="decimal"/>
      <w:lvlText w:val="%1.%2.%3"/>
      <w:lvlJc w:val="start"/>
      <w:pPr>
        <w:tabs>
          <w:tab w:val="num" w:pos="1440"/>
        </w:tabs>
        <w:ind w:start="1440" w:hanging="720"/>
      </w:pPr>
      <w:rPr>
        <w:b w:val="false"/>
      </w:rPr>
    </w:lvl>
    <w:lvl w:ilvl="3">
      <w:start w:val="1"/>
      <w:numFmt w:val="decimal"/>
      <w:lvlText w:val="%1.%2.%3.%4"/>
      <w:lvlJc w:val="start"/>
      <w:pPr>
        <w:tabs>
          <w:tab w:val="num" w:pos="2160"/>
        </w:tabs>
        <w:ind w:start="2160" w:hanging="1080"/>
      </w:pPr>
      <w:rPr>
        <w:b w:val="false"/>
      </w:rPr>
    </w:lvl>
    <w:lvl w:ilvl="4">
      <w:start w:val="1"/>
      <w:numFmt w:val="decimal"/>
      <w:lvlText w:val="%1.%2.%3.%4.%5"/>
      <w:lvlJc w:val="start"/>
      <w:pPr>
        <w:tabs>
          <w:tab w:val="num" w:pos="2520"/>
        </w:tabs>
        <w:ind w:start="2520" w:hanging="1080"/>
      </w:pPr>
      <w:rPr>
        <w:b w:val="false"/>
      </w:rPr>
    </w:lvl>
    <w:lvl w:ilvl="5">
      <w:start w:val="1"/>
      <w:numFmt w:val="decimal"/>
      <w:lvlText w:val="%1.%2.%3.%4.%5.%6"/>
      <w:lvlJc w:val="start"/>
      <w:pPr>
        <w:tabs>
          <w:tab w:val="num" w:pos="3240"/>
        </w:tabs>
        <w:ind w:start="3240" w:hanging="1440"/>
      </w:pPr>
      <w:rPr>
        <w:b w:val="false"/>
      </w:rPr>
    </w:lvl>
    <w:lvl w:ilvl="6">
      <w:start w:val="1"/>
      <w:numFmt w:val="decimal"/>
      <w:lvlText w:val="%1.%2.%3.%4.%5.%6.%7"/>
      <w:lvlJc w:val="start"/>
      <w:pPr>
        <w:tabs>
          <w:tab w:val="num" w:pos="3600"/>
        </w:tabs>
        <w:ind w:start="3600" w:hanging="1440"/>
      </w:pPr>
      <w:rPr>
        <w:b w:val="false"/>
      </w:rPr>
    </w:lvl>
    <w:lvl w:ilvl="7">
      <w:start w:val="1"/>
      <w:numFmt w:val="decimal"/>
      <w:lvlText w:val="%1.%2.%3.%4.%5.%6.%7.%8"/>
      <w:lvlJc w:val="start"/>
      <w:pPr>
        <w:tabs>
          <w:tab w:val="num" w:pos="4320"/>
        </w:tabs>
        <w:ind w:start="4320" w:hanging="1800"/>
      </w:pPr>
      <w:rPr>
        <w:b w:val="false"/>
      </w:rPr>
    </w:lvl>
    <w:lvl w:ilvl="8">
      <w:start w:val="1"/>
      <w:numFmt w:val="decimal"/>
      <w:lvlText w:val="%1.%2.%3.%4.%5.%6.%7.%8.%9"/>
      <w:lvlJc w:val="start"/>
      <w:pPr>
        <w:tabs>
          <w:tab w:val="num" w:pos="5040"/>
        </w:tabs>
        <w:ind w:start="5040" w:hanging="2160"/>
      </w:pPr>
      <w:rPr>
        <w:b w:val="false"/>
      </w:rPr>
    </w:lvl>
  </w:abstractNum>
  <w:abstractNum w:abstractNumId="9">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10">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i w:val="false"/>
      <w:sz w:val="28"/>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val="false"/>
    </w:rPr>
  </w:style>
  <w:style w:type="character" w:styleId="WW8Num32z0">
    <w:name w:val="WW8Num32z0"/>
    <w:qFormat/>
    <w:rPr/>
  </w:style>
  <w:style w:type="character" w:styleId="WW8Num33z0">
    <w:name w:val="WW8Num33z0"/>
    <w:qFormat/>
    <w:rPr/>
  </w:style>
  <w:style w:type="character" w:styleId="WW8Num33z1">
    <w:name w:val="WW8Num33z1"/>
    <w:qFormat/>
    <w:rPr>
      <w:rFonts w:ascii="Times New Roman" w:hAnsi="Times New Roman" w:cs="Times New Roman"/>
      <w:sz w:val="28"/>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i w:val="false"/>
      <w:sz w:val="28"/>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b/>
    </w:rPr>
  </w:style>
  <w:style w:type="character" w:styleId="WW8Num42z0">
    <w:name w:val="WW8Num42z0"/>
    <w:qFormat/>
    <w:rPr/>
  </w:style>
  <w:style w:type="character" w:styleId="WW8Num43z0">
    <w:name w:val="WW8Num43z0"/>
    <w:qFormat/>
    <w:rPr/>
  </w:style>
  <w:style w:type="character" w:styleId="WW8Num44z0">
    <w:name w:val="WW8Num44z0"/>
    <w:qFormat/>
    <w:rPr>
      <w:b w:val="fals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2z1">
    <w:name w:val="WW8Num52z1"/>
    <w:qFormat/>
    <w:rPr>
      <w:rFonts w:ascii="Times New Roman" w:hAnsi="Times New Roman" w:cs="Times New Roman"/>
      <w:sz w:val="28"/>
    </w:rPr>
  </w:style>
  <w:style w:type="character" w:styleId="WW8Num53z0">
    <w:name w:val="WW8Num53z0"/>
    <w:qFormat/>
    <w:rPr>
      <w:rFonts w:ascii="Times New Roman" w:hAnsi="Times New Roman" w:cs="CentSchbook BT;Times New Roman"/>
      <w:b/>
      <w:i w:val="false"/>
      <w:caps w:val="false"/>
      <w:smallCaps w:val="false"/>
      <w:color w:val="000000"/>
      <w:u w:val="none"/>
    </w:rPr>
  </w:style>
  <w:style w:type="character" w:styleId="WW8Num53z1">
    <w:name w:val="WW8Num53z1"/>
    <w:qFormat/>
    <w:rPr>
      <w:rFonts w:ascii="Century Schoolbook" w:hAnsi="Century Schoolbook" w:cs="###;Times New Roman"/>
      <w:b/>
      <w:i w:val="false"/>
      <w:caps w:val="false"/>
      <w:smallCaps w:val="false"/>
      <w:color w:val="000000"/>
      <w:sz w:val="24"/>
      <w:u w:val="none"/>
    </w:rPr>
  </w:style>
  <w:style w:type="character" w:styleId="WW8Num53z2">
    <w:name w:val="WW8Num53z2"/>
    <w:qFormat/>
    <w:rPr>
      <w:rFonts w:eastAsia="###;Times New Roman" w:cs="###;Times New Roman"/>
      <w:b w:val="false"/>
      <w:i w:val="false"/>
      <w:caps w:val="false"/>
      <w:smallCaps w:val="false"/>
      <w:color w:val="000000"/>
      <w:u w:val="none"/>
    </w:rPr>
  </w:style>
  <w:style w:type="character" w:styleId="WW8Num54z0">
    <w:name w:val="WW8Num54z0"/>
    <w:qFormat/>
    <w:rPr/>
  </w:style>
  <w:style w:type="character" w:styleId="WW8Num55z0">
    <w:name w:val="WW8Num55z0"/>
    <w:qFormat/>
    <w:rPr/>
  </w:style>
  <w:style w:type="character" w:styleId="WW8Num56z0">
    <w:name w:val="WW8Num56z0"/>
    <w:qFormat/>
    <w:rPr>
      <w:b/>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 w:val="24"/>
    </w:rPr>
  </w:style>
  <w:style w:type="paragraph" w:styleId="StandardL1">
    <w:name w:val="Standard_L1"/>
    <w:basedOn w:val="Normal"/>
    <w:next w:val="StandardCont1"/>
    <w:qFormat/>
    <w:pPr>
      <w:numPr>
        <w:ilvl w:val="0"/>
        <w:numId w:val="9"/>
      </w:numPr>
      <w:tabs>
        <w:tab w:val="clear" w:pos="720"/>
      </w:tabs>
      <w:spacing w:lineRule="auto" w:line="360" w:before="0" w:after="360"/>
      <w:jc w:val="both"/>
      <w:outlineLvl w:val="0"/>
    </w:pPr>
    <w:rPr>
      <w:rFonts w:ascii="CentSchbook BT;Times New Roman" w:hAnsi="CentSchbook BT;Times New Roman" w:cs="CentSchbook BT;Times New Roman"/>
      <w:b/>
      <w:sz w:val="24"/>
    </w:rPr>
  </w:style>
  <w:style w:type="paragraph" w:styleId="StandardL2">
    <w:name w:val="Standard_L2"/>
    <w:basedOn w:val="StandardL1"/>
    <w:next w:val="Normal"/>
    <w:qFormat/>
    <w:pPr>
      <w:numPr>
        <w:ilvl w:val="0"/>
        <w:numId w:val="9"/>
      </w:numPr>
      <w:tabs>
        <w:tab w:val="left" w:pos="360" w:leader="none"/>
      </w:tabs>
      <w:ind w:hanging="360" w:start="1080" w:end="0"/>
      <w:outlineLvl w:val="1"/>
    </w:pPr>
    <w:rPr/>
  </w:style>
  <w:style w:type="paragraph" w:styleId="StandardL3">
    <w:name w:val="Standard_L3"/>
    <w:basedOn w:val="StandardL2"/>
    <w:next w:val="Normal"/>
    <w:qFormat/>
    <w:pPr>
      <w:numPr>
        <w:ilvl w:val="0"/>
        <w:numId w:val="9"/>
      </w:numPr>
      <w:ind w:hanging="720" w:start="2160" w:end="0"/>
      <w:outlineLvl w:val="2"/>
    </w:pPr>
    <w:rPr/>
  </w:style>
  <w:style w:type="paragraph" w:styleId="StandardL4">
    <w:name w:val="Standard_L4"/>
    <w:basedOn w:val="StandardL3"/>
    <w:next w:val="Normal"/>
    <w:qFormat/>
    <w:pPr>
      <w:numPr>
        <w:ilvl w:val="0"/>
        <w:numId w:val="9"/>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9"/>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9"/>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9"/>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9"/>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9"/>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BodyText3">
    <w:name w:val="Body Text 3"/>
    <w:basedOn w:val="Normal"/>
    <w:qFormat/>
    <w:pPr/>
    <w:rPr>
      <w:b/>
      <w:bCs/>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2001-06-27T03:35:00Z</dcterms:created>
  <dc:creator>LDC</dc:creator>
  <dc:description/>
  <dc:language>en-CA</dc:language>
  <cp:lastModifiedBy>Evelyn Elsesser</cp:lastModifiedBy>
  <cp:lastPrinted>2001-06-12T10:01:00Z</cp:lastPrinted>
  <dcterms:modified xsi:type="dcterms:W3CDTF">2001-06-27T03:35:00Z</dcterms:modified>
  <cp:revision>2</cp:revision>
  <dc:subject/>
  <dc:title>Municipal Aggregation/Community Choice in the context of core/non-core</dc:title>
</cp:coreProperties>
</file>