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4"/>
        </w:numPr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Global Counterparty is responsible for the accurate and timely set up and maintenance of Enron’s master data.</w:t>
      </w:r>
    </w:p>
    <w:p>
      <w:pPr>
        <w:pStyle w:val="Normal"/>
        <w:numPr>
          <w:ilvl w:val="0"/>
          <w:numId w:val="30"/>
        </w:numPr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Our Best Practice is to provide 100% data accuracy</w:t>
      </w:r>
    </w:p>
    <w:p>
      <w:pPr>
        <w:pStyle w:val="Normal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</w:r>
    </w:p>
    <w:p>
      <w:pPr>
        <w:pStyle w:val="Heading2"/>
        <w:ind w:hanging="0" w:start="0"/>
        <w:rPr/>
      </w:pPr>
      <w:r>
        <w:rPr/>
        <w:t>New Counterparty</w:t>
      </w:r>
    </w:p>
    <w:tbl>
      <w:tblPr>
        <w:tblW w:w="1474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5"/>
        <w:gridCol w:w="3969"/>
        <w:gridCol w:w="3685"/>
        <w:gridCol w:w="2268"/>
        <w:gridCol w:w="2835"/>
      </w:tblGrid>
      <w:tr>
        <w:trPr>
          <w:tblHeader w:val="true"/>
          <w:trHeight w:val="216" w:hRule="atLeast"/>
        </w:trPr>
        <w:tc>
          <w:tcPr>
            <w:tcW w:w="19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Data/Process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Exposures</w:t>
            </w:r>
          </w:p>
        </w:tc>
        <w:tc>
          <w:tcPr>
            <w:tcW w:w="36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&amp; Accuracy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Time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Authorization Requirements</w:t>
            </w:r>
          </w:p>
        </w:tc>
      </w:tr>
      <w:tr>
        <w:trPr>
          <w:trHeight w:val="998" w:hRule="atLeast"/>
        </w:trPr>
        <w:tc>
          <w:tcPr>
            <w:tcW w:w="19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  <w:sz w:val="16"/>
                <w:u w:val="none"/>
              </w:rPr>
            </w:pPr>
            <w:r>
              <w:rPr>
                <w:rFonts w:cs="Arial" w:ascii="Arial" w:hAnsi="Arial"/>
                <w:sz w:val="16"/>
                <w:u w:val="none"/>
              </w:rPr>
              <w:t>New Counterparty - overview</w:t>
            </w:r>
          </w:p>
          <w:p>
            <w:pPr>
              <w:pStyle w:val="Normal"/>
              <w:rPr>
                <w:rFonts w:ascii="Arial" w:hAnsi="Arial" w:cs="Arial"/>
                <w:sz w:val="16"/>
                <w:u w:val="none"/>
              </w:rPr>
            </w:pPr>
            <w:r>
              <w:rPr>
                <w:rFonts w:cs="Arial" w:ascii="Arial" w:hAnsi="Arial"/>
                <w:sz w:val="16"/>
                <w:u w:val="none"/>
              </w:rPr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EOL/Clickpaper customers can only trade when set up in GCP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New trades are captured only when counterparty set up in GCP (Risk, Settlements, Contracts)</w:t>
            </w:r>
          </w:p>
        </w:tc>
        <w:tc>
          <w:tcPr>
            <w:tcW w:w="36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Timely and accurate set up of new counterparties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Time sensitive businesses given priority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100%  confirmation of guaranteed data elements verbally with counterparty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7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Within 24 hours: EOL/Clickpaper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within 48 hours: all other counterparties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Legal name, address and phone/fax information must be verbally confirmed with counterparty prior to set up</w:t>
            </w:r>
          </w:p>
        </w:tc>
      </w:tr>
      <w:tr>
        <w:trPr/>
        <w:tc>
          <w:tcPr>
            <w:tcW w:w="198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Legal Counterparty Name</w:t>
            </w:r>
          </w:p>
        </w:tc>
        <w:tc>
          <w:tcPr>
            <w:tcW w:w="396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Contractual exposures</w:t>
            </w:r>
          </w:p>
          <w:p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Deal tracking exposures – risk management</w:t>
            </w:r>
          </w:p>
        </w:tc>
        <w:tc>
          <w:tcPr>
            <w:tcW w:w="368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All data elements listed are guaranteed on counterparty set up</w:t>
            </w:r>
          </w:p>
        </w:tc>
        <w:tc>
          <w:tcPr>
            <w:tcW w:w="22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3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98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Headquarters address</w:t>
            </w:r>
          </w:p>
          <w:p>
            <w:pPr>
              <w:pStyle w:val="Normal"/>
              <w:numPr>
                <w:ilvl w:val="0"/>
                <w:numId w:val="18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Headquarters phone and fax</w:t>
            </w:r>
          </w:p>
        </w:tc>
        <w:tc>
          <w:tcPr>
            <w:tcW w:w="396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Timely communications with counterparty for settlements/logistics purposes</w:t>
            </w:r>
          </w:p>
        </w:tc>
        <w:tc>
          <w:tcPr>
            <w:tcW w:w="368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2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3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98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ERMS Short Name</w:t>
            </w:r>
          </w:p>
        </w:tc>
        <w:tc>
          <w:tcPr>
            <w:tcW w:w="396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Crucial counterparty identifier for interface with ERMS</w:t>
            </w:r>
          </w:p>
        </w:tc>
        <w:tc>
          <w:tcPr>
            <w:tcW w:w="368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ERMS short names are automatically generated in GCP according to ERMS system requirements</w:t>
            </w:r>
          </w:p>
        </w:tc>
        <w:tc>
          <w:tcPr>
            <w:tcW w:w="22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3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9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GCP group contact name</w:t>
            </w:r>
          </w:p>
        </w:tc>
        <w:tc>
          <w:tcPr>
            <w:tcW w:w="3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Outstanding questions may delay settlements/trade capture</w:t>
            </w:r>
          </w:p>
        </w:tc>
        <w:tc>
          <w:tcPr>
            <w:tcW w:w="36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ind w:hanging="0" w:start="0"/>
        <w:rPr/>
      </w:pPr>
      <w:r>
        <w:rPr/>
        <w:t>Counterparty Completion</w:t>
      </w:r>
    </w:p>
    <w:tbl>
      <w:tblPr>
        <w:tblW w:w="1474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5"/>
        <w:gridCol w:w="3969"/>
        <w:gridCol w:w="3685"/>
        <w:gridCol w:w="2268"/>
        <w:gridCol w:w="2835"/>
      </w:tblGrid>
      <w:tr>
        <w:trPr/>
        <w:tc>
          <w:tcPr>
            <w:tcW w:w="19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Data/Process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Exposures</w:t>
            </w:r>
          </w:p>
        </w:tc>
        <w:tc>
          <w:tcPr>
            <w:tcW w:w="368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&amp; Accuracy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Time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Authorization Requirements</w:t>
            </w:r>
          </w:p>
        </w:tc>
      </w:tr>
      <w:tr>
        <w:trPr>
          <w:trHeight w:val="742" w:hRule="atLeast"/>
        </w:trPr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numPr>
                <w:ilvl w:val="0"/>
                <w:numId w:val="21"/>
              </w:numPr>
              <w:ind w:hanging="360" w:start="743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Counterparty Bank Data (Wire)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Late payment can incur fees (Settlements/Treasury)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Procedures must be rigorous to protect Enron &amp; employees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Incorrect data can lead to misrouting of funds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Logistical problems with retrieving misrouted funds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Incorrect set up can cause errors on interface to SAP</w:t>
            </w:r>
          </w:p>
        </w:tc>
        <w:tc>
          <w:tcPr>
            <w:tcW w:w="3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Strict authorization requirements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Verbal and written confirmation of data with counterparty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Contingency authorization method if payment is urgent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Defined set up formats based on SAP guidelines, currency and destination of payment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Within 48 hours of authorization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Original invoice from counterparty,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or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Correspondence from counterparty on company letterhead,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AND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Verbal confirmation from counterparty of all beneficiary bank data at time of wire set up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If formal documentation is not available, an e-mail or fax from counterparty will be acceptable if formal documentation is on file within one week of wire set up.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Wires set up in advance of formal documentation must be authorized by a Manager or more senior person in Settlements and in GCP.  The GCP signatory logs the wire into an audit spreadsheet for tracking purposes (see also data review).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5840" w:h="12240"/>
          <w:pgMar w:left="567" w:right="567" w:gutter="0" w:header="567" w:top="623" w:footer="567" w:bottom="623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Counterparty Completion (Continued)</w:t>
      </w:r>
    </w:p>
    <w:tbl>
      <w:tblPr>
        <w:tblW w:w="1474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3969"/>
        <w:gridCol w:w="3827"/>
        <w:gridCol w:w="2127"/>
        <w:gridCol w:w="2976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Data/Process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Exposures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&amp; Accuracy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Time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Authorization Requirements</w:t>
            </w:r>
          </w:p>
        </w:tc>
      </w:tr>
      <w:tr>
        <w:trPr/>
        <w:tc>
          <w:tcPr>
            <w:tcW w:w="18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8"/>
              </w:numPr>
              <w:ind w:hanging="360" w:start="743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D&amp;B Data</w:t>
            </w:r>
          </w:p>
        </w:tc>
        <w:tc>
          <w:tcPr>
            <w:tcW w:w="3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Credit Aggregation System attaches credit exposure to Ultimate Parent based on Global Counterparty data</w:t>
            </w:r>
          </w:p>
          <w:p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High credit exposures impact on management and origination planning and decision making</w:t>
            </w:r>
          </w:p>
        </w:tc>
        <w:tc>
          <w:tcPr>
            <w:tcW w:w="38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Provide timely</w:t>
            </w:r>
          </w:p>
          <w:p>
            <w:pPr>
              <w:pStyle w:val="Normal"/>
              <w:numPr>
                <w:ilvl w:val="0"/>
                <w:numId w:val="25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D&amp;B number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D&amp;B Ultimate Parent number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Review high risk D&amp;B data for accuracy (see data review) 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May contact counterparty to confirm D&amp;B data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If a counterparty has not been issued with a D&amp;B number, GCP will liaise with the Credit department to find working solution</w:t>
            </w:r>
          </w:p>
        </w:tc>
        <w:tc>
          <w:tcPr>
            <w:tcW w:w="21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Within 30 days of initial counterparty set up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D&amp;B documentation or verbal confirmation from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3"/>
        <w:ind w:hanging="0" w:start="0"/>
        <w:rPr/>
      </w:pPr>
      <w:r>
        <w:rPr/>
        <w:t>Counterparty Maintenance</w:t>
      </w:r>
    </w:p>
    <w:tbl>
      <w:tblPr>
        <w:tblW w:w="1474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3969"/>
        <w:gridCol w:w="3827"/>
        <w:gridCol w:w="2127"/>
        <w:gridCol w:w="2976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Data/Process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Exposures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&amp; Accuracy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Time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Authorization Requirements</w:t>
            </w:r>
          </w:p>
        </w:tc>
      </w:tr>
      <w:tr>
        <w:trPr/>
        <w:tc>
          <w:tcPr>
            <w:tcW w:w="184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ind w:hanging="426" w:start="743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GCP/SAP Interface Exceptions</w:t>
            </w:r>
          </w:p>
        </w:tc>
        <w:tc>
          <w:tcPr>
            <w:tcW w:w="396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Downstream systems are reliant on timely data for settlements/trade capture</w:t>
            </w:r>
          </w:p>
        </w:tc>
        <w:tc>
          <w:tcPr>
            <w:tcW w:w="382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Constant monitoring of interface during business hours</w:t>
            </w:r>
          </w:p>
        </w:tc>
        <w:tc>
          <w:tcPr>
            <w:tcW w:w="212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Addressed within 24 hours</w:t>
            </w:r>
          </w:p>
        </w:tc>
        <w:tc>
          <w:tcPr>
            <w:tcW w:w="297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8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ind w:hanging="426" w:start="743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Effects of Name Changes and Mergers</w:t>
            </w:r>
          </w:p>
        </w:tc>
        <w:tc>
          <w:tcPr>
            <w:tcW w:w="3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Contractual repercussions of former counterparty names</w:t>
            </w:r>
          </w:p>
          <w:p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Downstream systems may require manual refresh to detect changed data (e.g. EOL, ERMS)</w:t>
            </w:r>
          </w:p>
          <w:p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Credit exposure roll up may be affected</w:t>
            </w:r>
          </w:p>
        </w:tc>
        <w:tc>
          <w:tcPr>
            <w:tcW w:w="38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Circulation of a notification report prior to changes being made to allow for synchronous changes to downstream data</w:t>
            </w:r>
          </w:p>
          <w:p>
            <w:pPr>
              <w:pStyle w:val="Normal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Changes made on regular basis</w:t>
            </w:r>
          </w:p>
          <w:p>
            <w:pPr>
              <w:pStyle w:val="Normal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Changes to EOL/Clickpaper counterparties made on as needed basis (after notification)</w:t>
            </w:r>
          </w:p>
        </w:tc>
        <w:tc>
          <w:tcPr>
            <w:tcW w:w="21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Notification Report circulated at least twice monthly</w:t>
            </w:r>
          </w:p>
          <w:p>
            <w:pPr>
              <w:pStyle w:val="Normal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GCP updated at least once monthly</w:t>
            </w:r>
          </w:p>
          <w:p>
            <w:pPr>
              <w:pStyle w:val="Normal"/>
              <w:numPr>
                <w:ilvl w:val="0"/>
                <w:numId w:val="2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EOL/Clickpaper amendments made within 48 hours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Changes may be made to GCP according to news and internal communications of name change/merger</w:t>
            </w:r>
          </w:p>
          <w:p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Changes to GCP must be verified and formally documented within one week to remain effective in GCP</w:t>
            </w:r>
          </w:p>
          <w:p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Changes made in advance of documentation will be tracked by the Notification Report for audit purposes.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Counterparty Review</w:t>
      </w:r>
    </w:p>
    <w:tbl>
      <w:tblPr>
        <w:tblW w:w="1474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3"/>
        <w:gridCol w:w="3969"/>
        <w:gridCol w:w="3827"/>
        <w:gridCol w:w="2127"/>
        <w:gridCol w:w="2976"/>
      </w:tblGrid>
      <w:tr>
        <w:trPr/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Data/Process</w:t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Exposures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&amp; Accuracy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GCP Response Time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Authorization Requirements</w:t>
            </w:r>
          </w:p>
        </w:tc>
      </w:tr>
      <w:tr>
        <w:trPr/>
        <w:tc>
          <w:tcPr>
            <w:tcW w:w="18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ind w:hanging="763" w:start="108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Data Review</w:t>
            </w:r>
          </w:p>
        </w:tc>
        <w:tc>
          <w:tcPr>
            <w:tcW w:w="3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Settlements/logistics exposure to outdated data</w:t>
            </w:r>
          </w:p>
          <w:p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Outdated wire data may cause misrouted payments</w:t>
            </w:r>
          </w:p>
          <w:p>
            <w:pPr>
              <w:pStyle w:val="Header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Credit exposure may be misrepresented if counterparty’s circumstances have changed</w:t>
            </w:r>
          </w:p>
        </w:tc>
        <w:tc>
          <w:tcPr>
            <w:tcW w:w="38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Data review conducted on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high value* counterparties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5% of counterparties, selected randomly from the global database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Review is conducted by a dedicated data audit group which is separate from data set up group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Review is of: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Guaranteed data elements 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D&amp;B data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Filed documentation to support wire set up, name changes and mergers (where appropriate).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Review is designed to capture: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Inaccuracies overlooked at set up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72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changes to counterparty data since set up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* “High Value” counterparties are those on Credit’s Top 100 Exposure Report at each quarter end.</w:t>
            </w:r>
          </w:p>
        </w:tc>
        <w:tc>
          <w:tcPr>
            <w:tcW w:w="21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Review of 5% of randomly selected records is conducted once annually</w:t>
            </w:r>
          </w:p>
          <w:p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Review of high value counterparties is conducted quarterly on an ongoing basis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Change authorization: as for new counterparty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orient="landscape" w:w="15840" w:h="12240"/>
      <w:pgMar w:left="567" w:right="567" w:gutter="0" w:header="567" w:top="623" w:footer="567" w:bottom="62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8"/>
        <w:lang w:eastAsia="en-US"/>
      </w:rPr>
      <w:t xml:space="preserve">Page </w:t>
    </w: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PAGE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1</w:t>
    </w:r>
    <w:r>
      <w:rPr>
        <w:sz w:val="18"/>
        <w:lang w:eastAsia="en-US"/>
      </w:rPr>
      <w:fldChar w:fldCharType="end"/>
    </w:r>
    <w:r>
      <w:rPr>
        <w:sz w:val="18"/>
        <w:lang w:eastAsia="en-US"/>
      </w:rPr>
      <w:t xml:space="preserve"> of </w:t>
    </w: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NUMPAGES \* ARABIC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2</w:t>
    </w:r>
    <w:r>
      <w:rPr>
        <w:sz w:val="18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8"/>
        <w:lang w:eastAsia="en-US"/>
      </w:rPr>
      <w:t xml:space="preserve">Page </w:t>
    </w: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PAGE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2</w:t>
    </w:r>
    <w:r>
      <w:rPr>
        <w:sz w:val="18"/>
        <w:lang w:eastAsia="en-US"/>
      </w:rPr>
      <w:fldChar w:fldCharType="end"/>
    </w:r>
    <w:r>
      <w:rPr>
        <w:sz w:val="18"/>
        <w:lang w:eastAsia="en-US"/>
      </w:rPr>
      <w:t xml:space="preserve"> of </w:t>
    </w: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NUMPAGES \* ARABIC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2</w:t>
    </w:r>
    <w:r>
      <w:rPr>
        <w:sz w:val="18"/>
        <w:lang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aps/>
        <w:sz w:val="22"/>
        <w:u w:val="single"/>
      </w:rPr>
    </w:pPr>
    <w:r>
      <w:rPr>
        <w:b/>
        <w:caps/>
        <w:sz w:val="22"/>
        <w:u w:val="single"/>
      </w:rPr>
      <w:t>Fundamental Operating Standards – Global Counterparty</w:t>
    </w:r>
  </w:p>
  <w:p>
    <w:pPr>
      <w:pStyle w:val="Header"/>
      <w:jc w:val="center"/>
      <w:rPr>
        <w:b/>
        <w:caps/>
        <w:sz w:val="22"/>
        <w:u w:val="single"/>
      </w:rPr>
    </w:pPr>
    <w:r>
      <w:rPr>
        <w:b/>
        <w:caps/>
        <w:sz w:val="2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aps/>
        <w:sz w:val="22"/>
        <w:u w:val="single"/>
      </w:rPr>
    </w:pPr>
    <w:r>
      <w:rPr>
        <w:b/>
        <w:caps/>
        <w:sz w:val="22"/>
        <w:u w:val="single"/>
      </w:rPr>
      <w:t>Fundamental Operating Standards – Global Counterparty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2001-03-06T12:17:00Z</dcterms:created>
  <dc:creator>Stuart Reed</dc:creator>
  <dc:description/>
  <dc:language>en-CA</dc:language>
  <cp:lastModifiedBy>kpallant</cp:lastModifiedBy>
  <cp:lastPrinted>2001-03-14T14:59:00Z</cp:lastPrinted>
  <dcterms:modified xsi:type="dcterms:W3CDTF">2001-03-20T19:46:00Z</dcterms:modified>
  <cp:revision>57</cp:revision>
  <dc:subject/>
  <dc:title>Fundamental Operating Standards – Global Counterparty</dc:title>
</cp:coreProperties>
</file>