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 xml:space="preserve">This Collateral Annex is intended as a starting point for negotiation of credit terms between Parties to the WSPP Agreement.  It should be customized based on the Parties’ credit and their overall relationship.  It is </w:t>
      </w:r>
      <w:r>
        <w:rPr>
          <w:u w:val="single"/>
        </w:rPr>
        <w:t>not</w:t>
      </w:r>
      <w:r>
        <w:rPr/>
        <w:t xml:space="preserve"> recommended to be used in addition to the credit/collateral provisions of the EEI, rather it is recommended that if parties transact under both agreements, a single collateral annex should be used which covers transactions under both the EEI and the WSPP.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/mnt/main-storage/datasets/enron-docs/doc/Draft_Disclaimer_103001.doc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2001-10-30T14:08:00Z</dcterms:created>
  <dc:creator>200909</dc:creator>
  <dc:description/>
  <dc:language>en-CA</dc:language>
  <cp:lastModifiedBy>200909</cp:lastModifiedBy>
  <dcterms:modified xsi:type="dcterms:W3CDTF">2001-10-30T18:25:00Z</dcterms:modified>
  <cp:revision>3</cp:revision>
  <dc:subject/>
  <dc:title>Draft Disclaimer</dc:title>
</cp:coreProperties>
</file>