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mc:AlternateContent>
          <mc:Choice Requires="wps">
            <w:drawing>
              <wp:anchor behindDoc="0" distT="0" distB="0" distL="114935" distR="114935" simplePos="0" locked="0" layoutInCell="1" allowOverlap="1" relativeHeight="19">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UNITED STATES OF AMERICA</w:t>
      </w:r>
    </w:p>
    <w:p>
      <w:pPr>
        <w:pStyle w:val="Normal"/>
        <w:jc w:val="center"/>
        <w:rPr/>
      </w:pPr>
      <w:r>
        <w:rPr/>
        <w:t>FEDERAL ENERGY REGULATORY COMMISSION</w:t>
      </w:r>
    </w:p>
    <w:p>
      <w:pPr>
        <w:pStyle w:val="Normal"/>
        <w:jc w:val="center"/>
        <w:rPr/>
      </w:pPr>
      <w:r>
        <w:rPr/>
      </w:r>
    </w:p>
    <w:p>
      <w:pPr>
        <w:pStyle w:val="Normal"/>
        <w:jc w:val="center"/>
        <w:rPr/>
      </w:pPr>
      <w:r>
        <w:rPr/>
      </w:r>
    </w:p>
    <w:p>
      <w:pPr>
        <w:pStyle w:val="Normal"/>
        <w:jc w:val="center"/>
        <w:rPr/>
      </w:pPr>
      <w:r>
        <w:rPr/>
      </w:r>
    </w:p>
    <w:p>
      <w:pPr>
        <w:pStyle w:val="Normal"/>
        <w:rPr/>
      </w:pPr>
      <w:r>
        <w:rPr/>
        <w:t>San Diego Gas &amp; Electric Company</w:t>
        <w:tab/>
        <w:tab/>
        <w:t>)</w:t>
      </w:r>
    </w:p>
    <w:p>
      <w:pPr>
        <w:pStyle w:val="Normal"/>
        <w:rPr/>
      </w:pPr>
      <w:r>
        <w:rPr/>
        <w:tab/>
        <w:tab/>
        <w:tab/>
        <w:tab/>
        <w:tab/>
        <w:tab/>
        <w:tab/>
        <w:t>)</w:t>
      </w:r>
    </w:p>
    <w:p>
      <w:pPr>
        <w:pStyle w:val="Normal"/>
        <w:rPr/>
      </w:pPr>
      <w:r>
        <w:rPr/>
        <w:tab/>
        <w:tab/>
        <w:tab/>
        <w:tab/>
        <w:tab/>
        <w:tab/>
        <w:tab/>
        <w:t>)</w:t>
      </w:r>
    </w:p>
    <w:p>
      <w:pPr>
        <w:pStyle w:val="Normal"/>
        <w:rPr/>
      </w:pPr>
      <w:r>
        <w:rPr/>
        <w:tab/>
        <w:tab/>
        <w:t>Complainant,</w:t>
        <w:tab/>
        <w:tab/>
        <w:tab/>
        <w:tab/>
        <w:t>)</w:t>
        <w:tab/>
        <w:t>Docket No. EL00-95-000</w:t>
      </w:r>
    </w:p>
    <w:p>
      <w:pPr>
        <w:pStyle w:val="Normal"/>
        <w:rPr/>
      </w:pPr>
      <w:r>
        <w:rPr/>
        <w:tab/>
        <w:tab/>
        <w:tab/>
        <w:tab/>
        <w:tab/>
        <w:tab/>
        <w:tab/>
        <w:t>)</w:t>
      </w:r>
    </w:p>
    <w:p>
      <w:pPr>
        <w:pStyle w:val="Normal"/>
        <w:rPr/>
      </w:pPr>
      <w:r>
        <w:rPr/>
        <w:tab/>
        <w:t>v.</w:t>
        <w:tab/>
        <w:tab/>
        <w:tab/>
        <w:tab/>
        <w:tab/>
        <w:tab/>
        <w:t>)</w:t>
      </w:r>
    </w:p>
    <w:p>
      <w:pPr>
        <w:pStyle w:val="Normal"/>
        <w:rPr/>
      </w:pPr>
      <w:r>
        <w:rPr/>
        <w:tab/>
        <w:tab/>
        <w:tab/>
        <w:tab/>
        <w:tab/>
        <w:tab/>
        <w:tab/>
        <w:t>)</w:t>
      </w:r>
    </w:p>
    <w:p>
      <w:pPr>
        <w:pStyle w:val="Normal"/>
        <w:rPr/>
      </w:pPr>
      <w:r>
        <w:rPr/>
        <w:t>Sellers of Energy and Ancillary Services</w:t>
        <w:tab/>
        <w:tab/>
        <w:t>)</w:t>
      </w:r>
    </w:p>
    <w:p>
      <w:pPr>
        <w:pStyle w:val="Normal"/>
        <w:tabs>
          <w:tab w:val="clear" w:pos="720"/>
          <w:tab w:val="left" w:pos="360" w:leader="none"/>
        </w:tabs>
        <w:rPr/>
      </w:pPr>
      <w:r>
        <w:rPr/>
        <w:tab/>
        <w:t>Into Markets Operated by the California</w:t>
        <w:tab/>
        <w:t>)</w:t>
      </w:r>
    </w:p>
    <w:p>
      <w:pPr>
        <w:pStyle w:val="Normal"/>
        <w:tabs>
          <w:tab w:val="clear" w:pos="720"/>
          <w:tab w:val="left" w:pos="360" w:leader="none"/>
        </w:tabs>
        <w:rPr/>
      </w:pPr>
      <w:r>
        <w:rPr/>
        <w:tab/>
        <w:t>Independent System Operator and the</w:t>
        <w:tab/>
        <w:tab/>
        <w:t>)</w:t>
      </w:r>
    </w:p>
    <w:p>
      <w:pPr>
        <w:pStyle w:val="Normal"/>
        <w:tabs>
          <w:tab w:val="clear" w:pos="720"/>
          <w:tab w:val="left" w:pos="360" w:leader="none"/>
        </w:tabs>
        <w:rPr/>
      </w:pPr>
      <w:r>
        <w:rPr/>
        <w:tab/>
        <w:t>California Power Exchange</w:t>
        <w:tab/>
        <w:tab/>
        <w:tab/>
        <w:t>)</w:t>
      </w:r>
    </w:p>
    <w:p>
      <w:pPr>
        <w:pStyle w:val="Normal"/>
        <w:tabs>
          <w:tab w:val="clear" w:pos="720"/>
          <w:tab w:val="left" w:pos="360" w:leader="none"/>
        </w:tabs>
        <w:rPr/>
      </w:pPr>
      <w:r>
        <w:rPr/>
        <w:tab/>
        <w:tab/>
        <w:tab/>
        <w:tab/>
        <w:tab/>
        <w:tab/>
        <w:tab/>
        <w:tab/>
        <w:t>)</w:t>
      </w:r>
    </w:p>
    <w:p>
      <w:pPr>
        <w:pStyle w:val="Normal"/>
        <w:tabs>
          <w:tab w:val="clear" w:pos="720"/>
          <w:tab w:val="left" w:pos="360" w:leader="none"/>
        </w:tabs>
        <w:rPr/>
      </w:pPr>
      <w:r>
        <w:rPr/>
        <w:tab/>
        <w:tab/>
        <w:tab/>
        <w:t>Respondents.</w:t>
        <w:tab/>
        <w:tab/>
        <w:tab/>
        <w:tab/>
        <w:t>)</w:t>
      </w:r>
    </w:p>
    <w:p>
      <w:pPr>
        <w:pStyle w:val="Normal"/>
        <w:tabs>
          <w:tab w:val="clear" w:pos="720"/>
          <w:tab w:val="left" w:pos="360" w:leader="none"/>
        </w:tabs>
        <w:rPr/>
      </w:pPr>
      <w:r>
        <w:rPr/>
        <w:tab/>
        <w:tab/>
        <w:tab/>
        <w:tab/>
        <w:tab/>
        <w:tab/>
        <w:tab/>
        <w:tab/>
        <w:t>)</w:t>
      </w:r>
    </w:p>
    <w:p>
      <w:pPr>
        <w:pStyle w:val="Normal"/>
        <w:tabs>
          <w:tab w:val="clear" w:pos="720"/>
          <w:tab w:val="left" w:pos="360" w:leader="none"/>
        </w:tabs>
        <w:rPr/>
      </w:pPr>
      <w:r>
        <w:rPr/>
        <w:t>Investigation of Practices of the California</w:t>
        <w:tab/>
        <w:tab/>
        <w:t>)</w:t>
        <w:tab/>
        <w:t>Docket No. EL00-98-000</w:t>
      </w:r>
    </w:p>
    <w:p>
      <w:pPr>
        <w:pStyle w:val="Normal"/>
        <w:tabs>
          <w:tab w:val="clear" w:pos="720"/>
          <w:tab w:val="left" w:pos="360" w:leader="none"/>
        </w:tabs>
        <w:rPr/>
      </w:pPr>
      <w:r>
        <w:rPr/>
        <w:tab/>
        <w:t>Independent System Operator and the</w:t>
        <w:tab/>
        <w:tab/>
        <w:t>)</w:t>
      </w:r>
    </w:p>
    <w:p>
      <w:pPr>
        <w:pStyle w:val="Normal"/>
        <w:tabs>
          <w:tab w:val="clear" w:pos="720"/>
          <w:tab w:val="left" w:pos="360" w:leader="none"/>
        </w:tabs>
        <w:rPr/>
      </w:pPr>
      <w:r>
        <w:rPr/>
        <w:tab/>
        <w:t>California Power Exchange</w:t>
        <w:tab/>
        <w:tab/>
        <w:tab/>
        <w:t>)</w:t>
      </w:r>
    </w:p>
    <w:p>
      <w:pPr>
        <w:pStyle w:val="Normal"/>
        <w:tabs>
          <w:tab w:val="clear" w:pos="720"/>
          <w:tab w:val="left" w:pos="360" w:leader="none"/>
        </w:tabs>
        <w:rPr/>
      </w:pPr>
      <w:r>
        <w:rPr/>
        <w:tab/>
        <w:tab/>
        <w:tab/>
        <w:tab/>
        <w:tab/>
        <w:tab/>
        <w:tab/>
        <w:tab/>
        <w:t>)</w:t>
      </w:r>
    </w:p>
    <w:p>
      <w:pPr>
        <w:pStyle w:val="Normal"/>
        <w:tabs>
          <w:tab w:val="clear" w:pos="720"/>
          <w:tab w:val="left" w:pos="360" w:leader="none"/>
        </w:tabs>
        <w:rPr/>
      </w:pPr>
      <w:r>
        <w:rPr/>
        <w:t>Public Meeting in San Diego, California</w:t>
        <w:tab/>
        <w:tab/>
        <w:t>)</w:t>
        <w:tab/>
        <w:t>Docket No. EL00-107-000</w:t>
      </w:r>
    </w:p>
    <w:p>
      <w:pPr>
        <w:pStyle w:val="Normal"/>
        <w:tabs>
          <w:tab w:val="clear" w:pos="720"/>
          <w:tab w:val="left" w:pos="360" w:leader="none"/>
        </w:tabs>
        <w:rPr/>
      </w:pPr>
      <w:r>
        <w:rPr/>
        <w:tab/>
        <w:tab/>
        <w:tab/>
        <w:tab/>
        <w:tab/>
        <w:tab/>
        <w:tab/>
        <w:tab/>
        <w:t>)</w:t>
      </w:r>
    </w:p>
    <w:p>
      <w:pPr>
        <w:pStyle w:val="Normal"/>
        <w:tabs>
          <w:tab w:val="clear" w:pos="720"/>
          <w:tab w:val="left" w:pos="360" w:leader="none"/>
        </w:tabs>
        <w:rPr/>
      </w:pPr>
      <w:r>
        <w:rPr/>
        <w:t>California Power Exchange Corporation</w:t>
        <w:tab/>
        <w:tab/>
        <w:tab/>
        <w:t>Docket No. ER00-3461-000</w:t>
      </w:r>
    </w:p>
    <w:p>
      <w:pPr>
        <w:pStyle w:val="Normal"/>
        <w:tabs>
          <w:tab w:val="clear" w:pos="720"/>
          <w:tab w:val="left" w:pos="360" w:leader="none"/>
        </w:tabs>
        <w:rPr/>
      </w:pPr>
      <w:r>
        <w:rPr/>
        <w:tab/>
        <w:tab/>
        <w:tab/>
        <w:tab/>
        <w:tab/>
        <w:tab/>
        <w:tab/>
        <w:tab/>
        <w:t>)</w:t>
      </w:r>
    </w:p>
    <w:p>
      <w:pPr>
        <w:pStyle w:val="Normal"/>
        <w:tabs>
          <w:tab w:val="clear" w:pos="720"/>
          <w:tab w:val="left" w:pos="360" w:leader="none"/>
        </w:tabs>
        <w:rPr/>
      </w:pPr>
      <w:r>
        <w:rPr/>
        <w:t>California Independent System Operator</w:t>
        <w:tab/>
        <w:tab/>
        <w:t>)</w:t>
        <w:tab/>
        <w:t>Docket No. ER00-3673-000</w:t>
      </w:r>
    </w:p>
    <w:p>
      <w:pPr>
        <w:pStyle w:val="Normal"/>
        <w:tabs>
          <w:tab w:val="clear" w:pos="720"/>
          <w:tab w:val="left" w:pos="360" w:leader="none"/>
        </w:tabs>
        <w:rPr/>
      </w:pPr>
      <w:r>
        <w:rPr/>
        <w:tab/>
        <w:t>Corporation</w:t>
        <w:tab/>
        <w:tab/>
        <w:tab/>
        <w:tab/>
        <w:tab/>
        <w:t>)</w:t>
      </w:r>
    </w:p>
    <w:p>
      <w:pPr>
        <w:pStyle w:val="Normal"/>
        <w:tabs>
          <w:tab w:val="clear" w:pos="720"/>
          <w:tab w:val="left" w:pos="360" w:leader="none"/>
        </w:tabs>
        <w:rPr/>
      </w:pPr>
      <w:r>
        <w:rPr/>
      </w:r>
    </w:p>
    <w:p>
      <w:pPr>
        <w:pStyle w:val="Normal"/>
        <w:tabs>
          <w:tab w:val="clear" w:pos="720"/>
          <w:tab w:val="left" w:pos="360" w:leader="none"/>
        </w:tabs>
        <w:rPr/>
      </w:pPr>
      <w:r>
        <w:rPr/>
      </w:r>
    </w:p>
    <w:p>
      <w:pPr>
        <w:pStyle w:val="Center"/>
        <w:rPr>
          <w:b/>
        </w:rPr>
      </w:pPr>
      <w:r>
        <w:rPr>
          <w:b/>
        </w:rPr>
        <w:t>COMMENTS OF THE ELECTRIC POWER SUPPLY ASSOCIATION</w:t>
      </w:r>
    </w:p>
    <w:p>
      <w:pPr>
        <w:pStyle w:val="BodyTextStyle"/>
        <w:rPr/>
      </w:pPr>
      <w:r>
        <w:rPr/>
        <w:t>The Electric Power Supply Association</w:t>
      </w:r>
      <w:r>
        <w:rPr>
          <w:rStyle w:val="FootnoteCharacters"/>
          <w:rStyle w:val="FootnoteReference"/>
        </w:rPr>
        <w:footnoteReference w:id="2"/>
      </w:r>
      <w:r>
        <w:rPr/>
        <w:t xml:space="preserve"> herein files its comments on the Commission's Order Proposing Remedies for California Wholesale Electric Markets, issued November 1, 2000 ("Proposed Order").</w:t>
      </w:r>
      <w:r>
        <w:rPr>
          <w:rStyle w:val="FootnoteCharacters"/>
          <w:rStyle w:val="FootnoteReference"/>
        </w:rPr>
        <w:footnoteReference w:id="3"/>
      </w:r>
      <w:r>
        <w:rPr/>
        <w:t xml:space="preserve">  </w:t>
      </w:r>
    </w:p>
    <w:p>
      <w:pPr>
        <w:pStyle w:val="BodyTextStyle"/>
        <w:rPr/>
      </w:pPr>
      <w:r>
        <w:rPr/>
        <w:t>The Commission is to be commended for undertaking a fair and prompt investigation of the California wholesale power markets, which culminated in its Staff Report on Western Markets and the Causes of the Summer 2000 Price Abnormalities. (“Staff Report”).</w:t>
      </w:r>
      <w:r>
        <w:rPr>
          <w:rStyle w:val="FootnoteCharacters"/>
          <w:rStyle w:val="FootnoteReference"/>
        </w:rPr>
        <w:footnoteReference w:id="4"/>
      </w:r>
      <w:r>
        <w:rPr/>
        <w:t xml:space="preserve">  The Staff Report provides an in-depth account of the causes of the increased prices and price volatility that occurred throughout the summer of 2000 in the spot markets administered by the California Independent System Operator Corporation (“CAISO”) and the California Power Exchange (“PX”).  These wholesale price increases have been seized upon by certain elected officials and market participants as the reason that retail customers in San Diego faced dramatically higher monthly bills this past summer than in the two previous summers.  Moreover, political charges have been leveled against generators and suppliers of price gouging, abuses of market power, making unjust and unreasonable bids into the bulk power markets, and receiving unjust and unreasonable prices in the CAISO and PX markets.  </w:t>
      </w:r>
    </w:p>
    <w:p>
      <w:pPr>
        <w:pStyle w:val="BodyTextStyle"/>
        <w:rPr/>
      </w:pPr>
      <w:r>
        <w:rPr/>
        <w:t xml:space="preserve">The Staff Report looked beyond the political rhetoric and examined the patterns of supply bidding, scheduling of loads, and market clearing prices that occurred this past summer.  The Staff Report examined in detail the myriad of supply and demand factors that were at work in the competitive wholesale markets and took account of market structures and rules that affected the price volatility experienced this summer.  The Staff Report’s findings convincingly demonstrate that the price spikes and price increases of the summer of 2000 are attributable not to the exercise of market power, but to the interplay of supply and demand conditions, in combination with seriously flawed market structures and rules.      </w:t>
      </w:r>
    </w:p>
    <w:p>
      <w:pPr>
        <w:pStyle w:val="BodyTextStyle"/>
        <w:rPr/>
      </w:pPr>
      <w:r>
        <w:rPr/>
        <w:t xml:space="preserve">The Commission’s Proposed Order strips away political rhetoric and focuses parties on the principal problems in the market and appropriate remedies for such problems that are within the Commission’s jurisdiction.  In so doing, the Commission acknowledges that the long-term problem in California, as elsewhere in the nation, is a shortage of generation and transmission capacity and that the solution to such shortages is maintenance and strengthening of competitive bulk power markets, so that market incentives and price signals will attract investment for building new, cleaner, and more efficient generating plants.  California needs substantial new investment to meet growing demand, within the state and throughout the Western region, to allow for replacement of older facilities, and to achieve improved efficiency and environmental performance.  Thus, EPSA applauds the Commission’s focus on remedies that will strengthen wholesale markets, provide more choice to market participants, and avoid recriminations and litigation surrounding whether bids made or prices received this summer were just and reasonable.  </w:t>
      </w:r>
    </w:p>
    <w:p>
      <w:pPr>
        <w:pStyle w:val="BodyTextStyle"/>
        <w:rPr/>
      </w:pPr>
      <w:r>
        <w:rPr/>
        <w:t xml:space="preserve">In these comments, EPSA emphasizes the importance of the effect of market reforms on price signals for new investment.  Above all, the Commission should remain steadfast in resisting proposals that will return electricity markets to cost-based regulation and command and control policies. </w:t>
      </w:r>
    </w:p>
    <w:p>
      <w:pPr>
        <w:pStyle w:val="BodyTextStyle"/>
        <w:rPr/>
      </w:pPr>
      <w:r>
        <w:rPr/>
        <w:t>There is a suggestion in the Commission’s Proposed Order that “the Commission’s goal has been to balance, on the one hand, holding overall rates to levels that approximate competitive market levels for the benefit of consumers, with, on the other hand, inducing sufficient investment in capacity to ensure adequate service for the benefit of consumers.”</w:t>
      </w:r>
      <w:r>
        <w:rPr>
          <w:rStyle w:val="FootnoteCharacters"/>
          <w:rStyle w:val="FootnoteReference"/>
        </w:rPr>
        <w:footnoteReference w:id="5"/>
      </w:r>
      <w:r>
        <w:rPr/>
        <w:t xml:space="preserve">  Such a purported balancing implies that competitive market levels somehow imply lower prices than are needed to attract new investment.  This implication, if intended, is plainly incorrect.  The Commission’s final order should reject the balance metaphor and acknowledge that competitive markets must, to sustain themselves, foster price levels that are sufficient to attract new investment.  So here in California.  The Staff Report concluded that “[t]he data clearly show that a general scarcity of power in the West and increased costs to produce power were factors causing high prices.”</w:t>
      </w:r>
      <w:r>
        <w:rPr>
          <w:rStyle w:val="FootnoteCharacters"/>
          <w:rStyle w:val="FootnoteReference"/>
        </w:rPr>
        <w:footnoteReference w:id="6"/>
      </w:r>
      <w:r>
        <w:rPr/>
        <w:t xml:space="preserve">  If markets are to attract new entrants and new investments, market prices must be allowed to seek the level at which scarcity rents can be realized in many circumstances.  The presence of scarcity rents, with prices at times substantially above generators’ marginal operating costs, is not a sign of market power but of a competitive wholesale market in which price signals are being appropriately sent to attract new investment.</w:t>
      </w:r>
      <w:r>
        <w:rPr>
          <w:rStyle w:val="FootnoteCharacters"/>
          <w:rStyle w:val="FootnoteReference"/>
        </w:rPr>
        <w:footnoteReference w:id="7"/>
      </w:r>
    </w:p>
    <w:p>
      <w:pPr>
        <w:pStyle w:val="Center"/>
        <w:rPr/>
      </w:pPr>
      <w:r>
        <w:rPr>
          <w:b/>
        </w:rPr>
        <w:t xml:space="preserve">THE COMMISSION GOT IT RIGHT WHEN IDENTIFYING THE </w:t>
        <w:br/>
        <w:t>CAUSES AND DYNAMICS OF CALIFORNIA’S MARKET PRICES</w:t>
      </w:r>
      <w:r>
        <w:rPr/>
        <w:t>.</w:t>
      </w:r>
    </w:p>
    <w:p>
      <w:pPr>
        <w:pStyle w:val="BodyTextStyle"/>
        <w:rPr/>
      </w:pPr>
      <w:r>
        <w:rPr/>
        <w:t>It is appropriate and necessary to start with the facts.  The high prices (compared to the two prior years) realized in California this summer reflected the confluence of various market fundamentals.  Among the significant forces that pushed prices inexorably higher were substantially higher input costs to produce electricity.  The Staff Report found that natural gas prices more than doubled in less than 12 months, and environmental credits increased by more than 700 percent just in the summer months alone.</w:t>
      </w:r>
      <w:r>
        <w:rPr>
          <w:rStyle w:val="FootnoteCharacters"/>
          <w:rStyle w:val="FootnoteReference"/>
        </w:rPr>
        <w:footnoteReference w:id="8"/>
      </w:r>
      <w:r>
        <w:rPr/>
        <w:t xml:space="preserve">  The Staff Report found that there was a higher sustained demand for electricity in California and throughout the West due to hot weather and load growth.  At the same time as demand remained high, there were decreased imports available to California as a result of reduced hydroelectric production.  Within California, unplanned outages were up, a consequence of an aging inventory of plants, reflecting the failure in the 1990s to build new generation to keep pace with the increased loads of a booming economy driven by new Internet based industries.</w:t>
      </w:r>
      <w:r>
        <w:rPr>
          <w:rStyle w:val="FootnoteCharacters"/>
          <w:rStyle w:val="FootnoteReference"/>
        </w:rPr>
        <w:footnoteReference w:id="9"/>
      </w:r>
      <w:r>
        <w:rPr/>
        <w:t xml:space="preserve">  </w:t>
      </w:r>
    </w:p>
    <w:p>
      <w:pPr>
        <w:pStyle w:val="BodyTextStyle"/>
        <w:rPr/>
      </w:pPr>
      <w:r>
        <w:rPr/>
        <w:t xml:space="preserve">The Staff Report correctly emphasized that supply and demand fundamental throughout the Western region influenced wholesale market prices in California.  California is not an electrical island.  Interconnections are strong with neighboring regions and, typically, net imports into California help cushion the shortage of in-state generation.  In the summer of 2000, the aforementioned conditions outside of California contributed to a decline in net imports into California.  In fact, suppliers often faced potentially higher prices in markets outside California than inside California.  </w:t>
      </w:r>
    </w:p>
    <w:p>
      <w:pPr>
        <w:pStyle w:val="BodyTextStyle"/>
        <w:rPr/>
      </w:pPr>
      <w:r>
        <w:rPr/>
        <w:t xml:space="preserve">Market fundamentals tell only part of the story.  The Commission’s Proposed Order and Staff Report hone in on a number of seriously flawed market structures and rules that exacerbated the effects of supply and demand imbalances.  Most significantly, California rules, and discretionary practices of the companies involved, confined the three utility load serving entities to transact only with the PX in the spot market.  Such over reliance on spot markets exposed the utilities, and their customers once freed of the rate freeze condition, to the full risks of spot market volatility.  Forward contracting, hedging mechanisms and other risk management tools have been scarcely in evidence.   The spike in prices that hit San Diego area consumers this summer is directly attributable to SDG&amp;E’s total reliance on spot markets to meet its load obligations.  </w:t>
      </w:r>
    </w:p>
    <w:p>
      <w:pPr>
        <w:pStyle w:val="BodyTextStyle"/>
        <w:rPr/>
      </w:pPr>
      <w:r>
        <w:rPr/>
        <w:t xml:space="preserve">The Proposed Order and Staff Report also justifiably single out the flaw in scheduling rules that allowed for load to be chronically underscheduled in the day-ahead and hour-ahead PX markets, forcing a disproportionate amount of load into the real time markets, which were not designed to serve this function.  </w:t>
      </w:r>
    </w:p>
    <w:p>
      <w:pPr>
        <w:pStyle w:val="BodyTextStyle"/>
        <w:rPr/>
      </w:pPr>
      <w:r>
        <w:rPr/>
        <w:t xml:space="preserve">In sum, the findings of the Commission and the Staff Report on California generally track the findings by EPSA in its paper entitled </w:t>
      </w:r>
      <w:r>
        <w:rPr>
          <w:i/>
        </w:rPr>
        <w:t>California: The Real Story</w:t>
      </w:r>
      <w:r>
        <w:rPr/>
        <w:t xml:space="preserve"> </w:t>
      </w:r>
      <w:r>
        <w:rPr>
          <w:rStyle w:val="FootnoteCharacters"/>
          <w:rStyle w:val="FootnoteReference"/>
        </w:rPr>
        <w:footnoteReference w:id="10"/>
      </w:r>
      <w:r>
        <w:rPr/>
        <w:t>and in a recent report prepared for EPSA by Boston Pacific</w:t>
      </w:r>
      <w:r>
        <w:rPr>
          <w:rStyle w:val="FootnoteCharacters"/>
          <w:rStyle w:val="FootnoteReference"/>
        </w:rPr>
        <w:footnoteReference w:id="11"/>
      </w:r>
      <w:r>
        <w:rPr/>
        <w:t xml:space="preserve"> as well reports issued by the California Power Exchange</w:t>
      </w:r>
      <w:r>
        <w:rPr>
          <w:rStyle w:val="FootnoteCharacters"/>
          <w:rStyle w:val="FootnoteReference"/>
        </w:rPr>
        <w:footnoteReference w:id="12"/>
      </w:r>
      <w:r>
        <w:rPr/>
        <w:t>, ISO Market Surveillance Committee</w:t>
      </w:r>
      <w:r>
        <w:rPr>
          <w:rStyle w:val="FootnoteCharacters"/>
          <w:rStyle w:val="FootnoteReference"/>
        </w:rPr>
        <w:footnoteReference w:id="13"/>
      </w:r>
      <w:r>
        <w:rPr/>
        <w:t xml:space="preserve"> and the Northwest Power Planning Council</w:t>
      </w:r>
      <w:r>
        <w:rPr>
          <w:rStyle w:val="FootnoteCharacters"/>
          <w:rStyle w:val="FootnoteReference"/>
        </w:rPr>
        <w:footnoteReference w:id="14"/>
      </w:r>
      <w:r>
        <w:rPr/>
        <w:t>.  It is important to note that each of these reports also bolsters the conclusions reached in the Staff Report and Proposed Order that “the record does not support findings of specific exercises of market power.”</w:t>
      </w:r>
      <w:r>
        <w:rPr>
          <w:rStyle w:val="FootnoteCharacters"/>
          <w:rStyle w:val="FootnoteReference"/>
        </w:rPr>
        <w:footnoteReference w:id="15"/>
      </w:r>
      <w:r>
        <w:rPr/>
        <w:t xml:space="preserve">   That record, of course, was developed by the Staff Report, which found:</w:t>
      </w:r>
    </w:p>
    <w:p>
      <w:pPr>
        <w:pStyle w:val="BlockQuote"/>
        <w:rPr/>
      </w:pPr>
      <w:r>
        <w:rPr>
          <w:i/>
        </w:rPr>
        <w:t>Examination of bid patterns in the PX and ISO replacement reserve markets and a review of ISO out of market purchase activity does not suggest substantial or sustained attempts to manipulate prices in these markets</w:t>
      </w:r>
      <w:r>
        <w:rPr/>
        <w:t>.</w:t>
      </w:r>
      <w:r>
        <w:rPr>
          <w:rStyle w:val="FootnoteCharacters"/>
          <w:rStyle w:val="FootnoteReference"/>
        </w:rPr>
        <w:footnoteReference w:id="16"/>
      </w:r>
      <w:r>
        <w:rPr/>
        <w:t xml:space="preserve">  </w:t>
      </w:r>
    </w:p>
    <w:p>
      <w:pPr>
        <w:pStyle w:val="LeftAlign2"/>
        <w:rPr/>
      </w:pPr>
      <w:r>
        <w:rPr/>
        <w:t>The Staff Report cited telling evidence that increases in bids “are not correlated with particular classes of bidders, suggesting that the pattern may reflect increased costs for most participants rather than a pattern of individual bidders or classes of bidders attempting to raise prices intentionally.”</w:t>
      </w:r>
      <w:r>
        <w:rPr>
          <w:rStyle w:val="FootnoteCharacters"/>
          <w:rStyle w:val="FootnoteReference"/>
        </w:rPr>
        <w:footnoteReference w:id="17"/>
      </w:r>
    </w:p>
    <w:p>
      <w:pPr>
        <w:pStyle w:val="BodyTextStyle"/>
        <w:rPr/>
      </w:pPr>
      <w:r>
        <w:rPr/>
        <w:t xml:space="preserve">At most, all that the Staff Report found was that “the data also indicate some attempted exercise of market power, </w:t>
      </w:r>
      <w:r>
        <w:rPr>
          <w:b/>
          <w:i/>
        </w:rPr>
        <w:t>if</w:t>
      </w:r>
      <w:r>
        <w:rPr/>
        <w:t xml:space="preserve"> the standard of bidding above marginal costs is used.” (emphasis added)</w:t>
      </w:r>
      <w:r>
        <w:rPr>
          <w:rStyle w:val="FootnoteCharacters"/>
          <w:rStyle w:val="FootnoteReference"/>
        </w:rPr>
        <w:footnoteReference w:id="18"/>
      </w:r>
      <w:r>
        <w:rPr/>
        <w:t xml:space="preserve">  But, that is a presumptive </w:t>
      </w:r>
      <w:r>
        <w:rPr>
          <w:b/>
          <w:i/>
        </w:rPr>
        <w:t>if</w:t>
      </w:r>
      <w:r>
        <w:rPr/>
        <w:t xml:space="preserve">.  Neither the Staff Report nor the Proposed Order offer any economic justification or Commission precedent for assuming that bidding above marginal costs constitutes the exercise of market power.  As stated above, economic theory of competitive markets does not postulate that all short-run bids, such as those in spot markets for a given day of supply and demand volatility, should be based on and not exceed marginal production costs (or even opportunity costs).  In the short-run, as conditions vary, suppliers may fairly expect to receive scarcity rents and to arbitrage between markets and fashion bidding strategy to achieve that result.  Such bidding behavior is decidedly not the exercise of market power.  </w:t>
      </w:r>
    </w:p>
    <w:p>
      <w:pPr>
        <w:pStyle w:val="BodyTextStyle"/>
        <w:rPr/>
      </w:pPr>
      <w:r>
        <w:rPr/>
        <w:t>The conventional definition of market power remains apt for assessing wholesale electricity markets: “a seller’s ability to influence the price in the market by withholding service or excluding competitors for a significant period of time.”</w:t>
      </w:r>
      <w:r>
        <w:rPr>
          <w:rStyle w:val="FootnoteCharacters"/>
          <w:rStyle w:val="FootnoteReference"/>
        </w:rPr>
        <w:footnoteReference w:id="19"/>
      </w:r>
      <w:r>
        <w:rPr/>
        <w:t xml:space="preserve">  The record contains no evidence of any competitive wholesale supplier having withheld capacity in an attempt to influence price, nor any evidence of exclusionary practices or of sustained bids that set the market price.  The politically charged allegations of market power abuse are entirely without record foundation, and the Commission should so note in its final order.  Much needless litigation has been threatened against suppliers, premised upon the erroneous impressions that the Commission’s Proposed order found market power had been exercised this summer and that suppliers had bid unjustly and unreasonably.  The Commission, whose Chairman has implored the parties to eschew litigation, can take a positive step in that direction by expressly disavowing that it has made any findings that particular suppliers or a class of suppliers has acted abusively, in the exercise of market power, or unjustly and unreasonably.  </w:t>
      </w:r>
    </w:p>
    <w:p>
      <w:pPr>
        <w:pStyle w:val="Center"/>
        <w:rPr>
          <w:b/>
        </w:rPr>
      </w:pPr>
      <w:r>
        <w:rPr>
          <w:b/>
        </w:rPr>
        <w:t>THE COMMISSION HAS FASHIONED APPROPRIATE REMEDIES TARGETED TO THE MARKET FLAWS THAT IT IDENTIFIED</w:t>
      </w:r>
    </w:p>
    <w:p>
      <w:pPr>
        <w:pStyle w:val="BodyTextStyle"/>
        <w:rPr/>
      </w:pPr>
      <w:r>
        <w:rPr/>
        <w:t xml:space="preserve">As stated above, the Commission properly identified the absence of forward contracting and other hedging mechanisms and the corollary presence of excessive reliance on spot markets as the major  structural flaw in California’s wholesale electricity market.  The Commission has wisely attacked this problem head-on by nullifying the mandatory buy-sell through the PX.  Complementary measures include allowing IOUs to elect to be their own Scheduling Coordinator, and , thereby become eligible to provide power from their own resources to serve load and to self-provide ancillary services.  By eliminating the mandatory buy-sell through the PX, competing exchanges will emerge and flexible products should become available.  IOUs should be free, and indeed encouraged, to develop portfolios that hedge spot market risks, blend long- and short-term resources, and mix bilateral contracts with exchange based financial products.  </w:t>
      </w:r>
    </w:p>
    <w:p>
      <w:pPr>
        <w:pStyle w:val="BodyTextStyle"/>
        <w:rPr/>
      </w:pPr>
      <w:r>
        <w:rPr>
          <w:b/>
        </w:rPr>
        <w:t>[</w:t>
      </w:r>
      <w:r>
        <w:rPr>
          <w:b/>
          <w:u w:val="single"/>
        </w:rPr>
        <w:t>Does EPSA want to support mandatory forward contracting]</w:t>
      </w:r>
    </w:p>
    <w:p>
      <w:pPr>
        <w:pStyle w:val="BodyTextStyle"/>
        <w:rPr/>
      </w:pPr>
      <w:r>
        <w:rPr/>
        <w:t>The promise of forward contracting and risk management may be compromised if state rules are not modified to lift restrictions on forward contracting and to provide meaningful protection against after-the-fact prudence reviews.  The Commission recognized the importance of parallel state actions to facilitate forward trading.</w:t>
      </w:r>
      <w:r>
        <w:rPr>
          <w:rStyle w:val="FootnoteCharacters"/>
          <w:rStyle w:val="FootnoteReference"/>
        </w:rPr>
        <w:footnoteReference w:id="20"/>
      </w:r>
      <w:r>
        <w:rPr/>
        <w:t xml:space="preserve">   EPSA believes that the Commission can go one step further in its final order.  The Commission should adopt mechanisms that recognize forward contracts as being just and reasonable looking forward, without regard to subsequent market price directions.  Armed with such findings, IOUs should be more willing to enter into forward contracts.  Going even further, EPSA commends consideration of proposals presented by others to link formally federal remedies to adoption and implementation of state measures that encourage IOUs to rely more heavily on forward contracting.</w:t>
      </w:r>
    </w:p>
    <w:p>
      <w:pPr>
        <w:pStyle w:val="BodyTextStyle"/>
        <w:rPr/>
      </w:pPr>
      <w:r>
        <w:rPr/>
        <w:t>In addition to supporting the elimination of the mandatory buy-sell requirement through the PX, and the related measures, EPSA supports additional elements of the Commission’s proposals:</w:t>
      </w:r>
    </w:p>
    <w:p>
      <w:pPr>
        <w:pStyle w:val="Bullet-Large"/>
        <w:numPr>
          <w:ilvl w:val="0"/>
          <w:numId w:val="2"/>
        </w:numPr>
        <w:rPr/>
      </w:pPr>
      <w:r>
        <w:rPr/>
        <w:t xml:space="preserve">The imposition of penalties on load for imbalances in the real time market.  These penalties are appropriately imposed on load because [of the discretionary scheduling and the pure arbitraging that has been available to load serving entities.  Generation must follow load and is circumscribed by different impacts on operations upon being scheduled in day-ahead or real time, since availability for real time service and for reserves involves operational consequences.] </w:t>
      </w:r>
      <w:r>
        <w:rPr>
          <w:b/>
        </w:rPr>
        <w:t>[Is there a better defense of why real-time penalty should only be imposed on load and not on generation that appears unscheduled in real-time?] [Do we want to address the proposals for a real-time energy charge, which was put forward by the ISO?]</w:t>
      </w:r>
    </w:p>
    <w:p>
      <w:pPr>
        <w:pStyle w:val="Bullet-Large"/>
        <w:numPr>
          <w:ilvl w:val="0"/>
          <w:numId w:val="2"/>
        </w:numPr>
        <w:rPr/>
      </w:pPr>
      <w:r>
        <w:rPr/>
        <w:t>Getting the ISO out of the energy business and limiting its role to managing the reliability of the transmission system.</w:t>
      </w:r>
    </w:p>
    <w:p>
      <w:pPr>
        <w:pStyle w:val="Bullet-Large"/>
        <w:numPr>
          <w:ilvl w:val="0"/>
          <w:numId w:val="2"/>
        </w:numPr>
        <w:rPr/>
      </w:pPr>
      <w:r>
        <w:rPr/>
        <w:t>Replacement of the ISO and PX stakeholder boards with independent boards.</w:t>
      </w:r>
      <w:r>
        <w:rPr>
          <w:rStyle w:val="FootnoteCharacters"/>
          <w:rStyle w:val="FootnoteReference"/>
        </w:rPr>
        <w:footnoteReference w:id="21"/>
      </w:r>
      <w:r>
        <w:rPr/>
        <w:t xml:space="preserve">  </w:t>
      </w:r>
      <w:r>
        <w:rPr>
          <w:b/>
        </w:rPr>
        <w:t>[Is there anything more that EPSA ventures to say about the Boards or the selection process?  See footnote]</w:t>
      </w:r>
    </w:p>
    <w:p>
      <w:pPr>
        <w:pStyle w:val="Bullet-Large"/>
        <w:numPr>
          <w:ilvl w:val="0"/>
          <w:numId w:val="2"/>
        </w:numPr>
        <w:rPr/>
      </w:pPr>
      <w:r>
        <w:rPr/>
        <w:t xml:space="preserve">Recognizing that California is not an electrical island and that California by necessity must be a part of a regional transmission organization in the West.  </w:t>
      </w:r>
      <w:r>
        <w:rPr>
          <w:b/>
        </w:rPr>
        <w:t>[What statement would be most consistent with EPSA’s emerging position in the relevant RTO filings as to embracing California within a larger regional structure?]</w:t>
      </w:r>
      <w:r>
        <w:rPr/>
        <w:t xml:space="preserve"> </w:t>
      </w:r>
    </w:p>
    <w:p>
      <w:pPr>
        <w:pStyle w:val="Bullet-Large"/>
        <w:numPr>
          <w:ilvl w:val="0"/>
          <w:numId w:val="2"/>
        </w:numPr>
        <w:rPr/>
      </w:pPr>
      <w:r>
        <w:rPr/>
        <w:t>Require that the ISO file new generation interconnection procedures no later than (60) days after the independent board is seated.  Such standard procedures are needed not only in California but elsewhere in the United States.  The Commission should use the occasion of the final order to remind all industry players that development of new interconnection procedures is an essential step in perfecting competitive markets.</w:t>
      </w:r>
    </w:p>
    <w:p>
      <w:pPr>
        <w:pStyle w:val="Bullet-Large"/>
        <w:numPr>
          <w:ilvl w:val="0"/>
          <w:numId w:val="2"/>
        </w:numPr>
        <w:rPr/>
      </w:pPr>
      <w:r>
        <w:rPr/>
        <w:t xml:space="preserve">Declaring null and void the CAISO’s Board decision  to impose load differentiated price caps and the revocation of its purchase price cap authority. </w:t>
      </w:r>
    </w:p>
    <w:p>
      <w:pPr>
        <w:pStyle w:val="LeftAlign2"/>
        <w:rPr/>
      </w:pPr>
      <w:r>
        <w:rPr/>
        <w:t>EPSA believes that all of these proposals in combination should invigorate forward contract markets, reduce pressure on spot markets, and instill confidence that the  PX and ISO boards will work for the benefit of the markets and not get caught up in interest group politics.   The remainder of EPSA’s comments will focus on the two aspects of the Proposed Order which have generated the most discussion —</w:t>
      </w:r>
      <w:r>
        <w:rPr>
          <w:i/>
        </w:rPr>
        <w:t>.</w:t>
      </w:r>
      <w:r>
        <w:rPr/>
        <w:t xml:space="preserve"> the soft cap of $150 and the Commission decision rejecting on retroactive refunds.</w:t>
      </w:r>
    </w:p>
    <w:p>
      <w:pPr>
        <w:pStyle w:val="Center"/>
        <w:rPr>
          <w:b/>
        </w:rPr>
      </w:pPr>
      <w:r>
        <w:rPr>
          <w:b/>
        </w:rPr>
        <w:t xml:space="preserve">THE COMMISSION’S PROPOSAL FOR AN AS-BID AUCTION </w:t>
        <w:br/>
        <w:t>HOLDS PROMISE, WHICH SHOULD NOT BE UNDERMINED BY</w:t>
        <w:br/>
        <w:t xml:space="preserve"> A SOFT CAP THAT LACKS CLEAR STANDARDS AND EXPEDITED PROCEDURES FOR ITS APPLICATION </w:t>
      </w:r>
    </w:p>
    <w:p>
      <w:pPr>
        <w:pStyle w:val="BodyTextStyle"/>
        <w:rPr/>
      </w:pPr>
      <w:r>
        <w:rPr/>
        <w:t xml:space="preserve">EPSA does not object to limiting the role of the single price auction or to instituting an as-bid auction based on a threshold bid level.  EPSA also embraces the Commission’s elimination of the ISO’s price cap authority.  However, the perhaps deliberate vagueness of the Proposed Order’s “soft cap” raises concerns that could jeopardize the functioning of the reformed wholesale markets.  As stated above, market reforms should be assessed against the criteria of fostering accurate price signals for new investment.  The soft cap proposal, as now written, deprives suppliers of any type of certainty that they may realize scarcity rents or recover their opportunity costs and exposes all suppliers to endless uncertainty regarding their risk of refunds.  No new investor will welcome rules that state that revenues are subject to 24 months of scrutiny and possible rescission. </w:t>
      </w:r>
    </w:p>
    <w:p>
      <w:pPr>
        <w:pStyle w:val="BodyTextStyle"/>
        <w:rPr/>
      </w:pPr>
      <w:r>
        <w:rPr/>
        <w:t>Moreover, the Commission must ensure that its imposition of a soft cap does not become a universal standard for capping prices, thereby stifling development of new generation.  Already, Puget Sound Energy has filed</w:t>
      </w:r>
      <w:r>
        <w:rPr>
          <w:rStyle w:val="FootnoteCharacters"/>
          <w:rStyle w:val="FootnoteReference"/>
        </w:rPr>
        <w:footnoteReference w:id="22"/>
      </w:r>
      <w:r>
        <w:rPr/>
        <w:t xml:space="preserve"> with the Commission seeking price caps in the Northwest to mirror any price caps the Commission might impose in California.  The Northwest, like California is in critical need of new generation and a recent report of the Northwest Power Planning Council indicated that prices this summer reached the level necessary to facilitate new entry</w:t>
      </w:r>
      <w:r>
        <w:rPr>
          <w:rStyle w:val="FootnoteCharacters"/>
          <w:rStyle w:val="FootnoteReference"/>
        </w:rPr>
        <w:footnoteReference w:id="23"/>
      </w:r>
      <w:r>
        <w:rPr/>
        <w:t xml:space="preserve">  Similarly in New York, another area desperate for new generation, market participants, rather than taking steps to solve the problems in the New York market</w:t>
      </w:r>
      <w:r>
        <w:rPr>
          <w:rStyle w:val="FootnoteCharacters"/>
          <w:rStyle w:val="FootnoteReference"/>
        </w:rPr>
        <w:footnoteReference w:id="24"/>
      </w:r>
      <w:r>
        <w:rPr/>
        <w:t xml:space="preserve">  are now discussing a $250 price cap, citing the level imposed by the CAISO.  A price cap at that level in conjunction with the longstanding siting problems that exist in the state</w:t>
      </w:r>
      <w:r>
        <w:rPr>
          <w:rStyle w:val="FootnoteCharacters"/>
          <w:rStyle w:val="FootnoteReference"/>
        </w:rPr>
        <w:footnoteReference w:id="25"/>
      </w:r>
      <w:r>
        <w:rPr/>
        <w:t xml:space="preserve">, would cripple whatever development can occur. </w:t>
      </w:r>
    </w:p>
    <w:p>
      <w:pPr>
        <w:pStyle w:val="BodyTextStyle"/>
        <w:rPr/>
      </w:pPr>
      <w:r>
        <w:rPr/>
        <w:t xml:space="preserve">EPSA underscores its opposition to arbitrary price caps that short circuit market pricing and, by design, but without case by case justification, deprive suppliers of opportunities to receive scarcity rents that are critical to providing the market incentive that new generation investment needs.  This is especially so during the next few years as California transitions more completely to competitive wholesale and retail electricity markets.  New capacity must be immediately attracted and it will be only if there are opportunities in the first couple years of a new investment to earn scarcity rents that allow for a front-loaded recovery of capital costs, rather than a traditional utility pattern of level return of capital costs over an extended period of time.  The soft cap, if left to ambiguous application, will discourage new investment during this critical transition period. </w:t>
      </w:r>
    </w:p>
    <w:p>
      <w:pPr>
        <w:pStyle w:val="BodyTextStyle"/>
        <w:rPr/>
      </w:pPr>
      <w:r>
        <w:rPr/>
        <w:t xml:space="preserve">EPSA offers recommendations to refine the soft cap concept in three respects: (1) restricting the bids that merit review by the Commission and, correlatively, reducing the burden of data collection; (2) prescribing clear standards for consideration of circumstances when transaction prices may be scrutinized and adjusted; and (3) limiting the refund and price mitigation period to a few weeks after each transaction. </w:t>
      </w:r>
    </w:p>
    <w:p>
      <w:pPr>
        <w:pStyle w:val="Heading3"/>
        <w:ind w:hanging="0" w:start="0"/>
        <w:rPr/>
      </w:pPr>
      <w:r>
        <w:rPr>
          <w:u w:val="single"/>
        </w:rPr>
        <w:t>Restrict bids subject to review</w:t>
      </w:r>
    </w:p>
    <w:p>
      <w:pPr>
        <w:pStyle w:val="BodyTextStyle"/>
        <w:rPr/>
      </w:pPr>
      <w:r>
        <w:rPr/>
        <w:t>EPSA does not believe that all bids above $150/MWh, or any threshold price level, should be subject to review by the Commission.  While setting an invariant threshold is administratively simple, the reporting burden exceeds the gains from Commission scrutiny.  Periodically this summer, electricity prices at major Western trading hubs exceeded $150.</w:t>
      </w:r>
      <w:r>
        <w:rPr>
          <w:rStyle w:val="FootnoteCharacters"/>
          <w:rStyle w:val="FootnoteReference"/>
        </w:rPr>
        <w:footnoteReference w:id="26"/>
      </w:r>
      <w:r>
        <w:rPr/>
        <w:t xml:space="preserve">  There is no evidence that these prices are the result of flawed market rules or an abuse of market power.</w:t>
      </w:r>
      <w:r>
        <w:rPr>
          <w:rStyle w:val="FootnoteCharacters"/>
          <w:rStyle w:val="FootnoteReference"/>
        </w:rPr>
        <w:footnoteReference w:id="27"/>
      </w:r>
      <w:r>
        <w:rPr/>
        <w:t xml:space="preserve">  Nevertheless, the presence of these prices means that generators have opportunity costs above $150/MWh.  In such a circumstance, it seems overkill to require all generators to document the bidder’s pre-bid expectations of opportunity costs.  FERC staff will be quickly inundated by the filings and may be unable to keep up with the anticipated monitoring function. A far better allocation of scare Commission resources would focus reporting requirements and monitoring tasks on bids that more likely involve the exercise of market power as a result of flawed market rules or other factors than those bids that represent high opportunity costs from neighboring regions or scarcity rents available from a fleeting confluence of supply and demand factors.  </w:t>
      </w:r>
    </w:p>
    <w:p>
      <w:pPr>
        <w:pStyle w:val="BodyTextStyle"/>
        <w:rPr/>
      </w:pPr>
      <w:r>
        <w:rPr/>
        <w:t xml:space="preserve">EPSA proposes that rather than requiring all generators to submit weekly information on all bids above $150, the Commission should require that generators maintain the information the Commission seeks for a limited period (described below).  Such information would be available to the Commission if scrutiny is triggered by clearly articulated screening criteria.  Some screening criteria could flatly rule out reporting or monitoring of retained data. For example, if loads subject to the as-bid market are too small a percentage of total load, or if the variance in bids around the threshold level is so small as to render less relevant the averaging of bid prices borne by load, reporting and retention requirements could be suspended.  </w:t>
      </w:r>
    </w:p>
    <w:p>
      <w:pPr>
        <w:pStyle w:val="Heading3"/>
        <w:ind w:hanging="0" w:start="0"/>
        <w:rPr>
          <w:u w:val="single"/>
        </w:rPr>
      </w:pPr>
      <w:r>
        <w:rPr>
          <w:u w:val="single"/>
        </w:rPr>
        <w:t xml:space="preserve">Articulate clear standards for adjusting transaction prices </w:t>
      </w:r>
    </w:p>
    <w:p>
      <w:pPr>
        <w:pStyle w:val="BodyTextStyle"/>
        <w:rPr/>
      </w:pPr>
      <w:r>
        <w:rPr/>
        <w:t>The Commission received a consistent message at its public conference regarding the importance to generators of certainty as to the criteria that will be employed to mitigate bids above the soft cap.  EPSA suggests that a starting point in clarifying the criteria would be to describe in the final order, how the cap would be applied to real world examples.  The Staff Report raises the example of a generator with running costs of let’s say, $120/MWh, but an opportunity to sell into markets where the prevailing price is $160/MWh.</w:t>
      </w:r>
      <w:r>
        <w:rPr>
          <w:rStyle w:val="FootnoteCharacters"/>
          <w:rStyle w:val="FootnoteReference"/>
        </w:rPr>
        <w:footnoteReference w:id="28"/>
      </w:r>
      <w:r>
        <w:rPr/>
        <w:t xml:space="preserve">: A variant of this example would be if the generator perceives that costs of other generators will be at or above $160/MWh, or if the bidder perceives that expected high bids will be, for whatever reason other than withholding or the exercise of market power, at or above $160/MWh.  In each of these cases, the generator’s bid should be protected by safe harbors.  </w:t>
      </w:r>
      <w:r>
        <w:rPr>
          <w:b/>
        </w:rPr>
        <w:t>[any specific examples that EPSA members want covered by a safe harbor or by a clarification of how the intended mitigation rules would apply.]</w:t>
      </w:r>
      <w:r>
        <w:rPr/>
        <w:t xml:space="preserve">  </w:t>
      </w:r>
    </w:p>
    <w:p>
      <w:pPr>
        <w:pStyle w:val="BodyTextStyle"/>
        <w:rPr/>
      </w:pPr>
      <w:r>
        <w:rPr/>
        <w:t xml:space="preserve">In an as-bid auction, suppliers do not bid their costs. Rather, they bid their view of the market clearing price (albeit a market clearing price that only applies to the top bidder and that gets averaged into the price borne by load).  Accordingly, the suggestion read into the soft cap proposal by some that it is a cost-based mechanism, would, if true, be ill-suited to an as-bid auction.  Any use of the soft cap to limit bids strictly to verifiable operating or opportunity costs would be nothing less than a return to wasteful cost-based ratemaking.  Suppliers should be allowed to bid their estimate of the market clearing price when it is expected to clear above the threshold price. </w:t>
      </w:r>
    </w:p>
    <w:p>
      <w:pPr>
        <w:pStyle w:val="Heading3"/>
        <w:ind w:hanging="0" w:start="0"/>
        <w:rPr>
          <w:u w:val="single"/>
        </w:rPr>
      </w:pPr>
      <w:r>
        <w:rPr>
          <w:u w:val="single"/>
        </w:rPr>
        <w:t>Prescribe a limited period for mitigating bids</w:t>
      </w:r>
    </w:p>
    <w:p>
      <w:pPr>
        <w:pStyle w:val="BodyTextStyle"/>
        <w:rPr/>
      </w:pPr>
      <w:r>
        <w:rPr/>
        <w:t xml:space="preserve">As currently proposed, all bids above $150/MWh remain in a form of suspended animation for a period of up to two years.  This is unnecessary to serve the Commission’s monitoring (or deterrence) goals, and will prove to be destabilizing to new investment.  EPSA recommends that the Commission announce an expedited procedure for determining whether to scrutinize any bid, and a short period thereafter in which Commission action to mitigate the bid must be taken.  Suppliers must be able to move on and have assurances that their bids will not be forever open to scrutiny and their revenues subject to rescission.  EPSA proposes that 15 days should be a sufficient period in which to inform a bidder that its bid is being formally scrutinized and that up to 60 days should be sufficient to determine whether to apply clearly articulated standards to mitigate such bid.  The Commission should also provide a written explanation of why particular bids have been rejected. future business accordingly.  </w:t>
      </w:r>
      <w:r>
        <w:rPr>
          <w:b/>
        </w:rPr>
        <w:t xml:space="preserve">[Alternatively, EPSA could offer to defer to the Commission’s prescription of the applicable time periods.] </w:t>
      </w:r>
    </w:p>
    <w:p>
      <w:pPr>
        <w:pStyle w:val="Center"/>
        <w:rPr>
          <w:b/>
        </w:rPr>
      </w:pPr>
      <w:r>
        <w:rPr>
          <w:b/>
        </w:rPr>
        <w:t xml:space="preserve">THE COMMISSION SHOULD REAFFIRM ITS GENERAL COUNSEL’S LEGAL OPINION THAT IT LACKS AUTHORITY TO ORDER RETROACTIVE REFUNDS UNDER SECTION 206 AND SHOULD DISAVOW THAT ANY REFUNDS WOULD EVEN BE APPROPRIATE IF IT HAD SUCH AUTHORITY </w:t>
      </w:r>
    </w:p>
    <w:p>
      <w:pPr>
        <w:pStyle w:val="BodyTextStyle"/>
        <w:rPr/>
      </w:pPr>
      <w:r>
        <w:rPr/>
        <w:t>The General Counsel's opinion appended to the Proposed Order correctly cites Commission precedent circumscribing the Commission’s authority to order retroactive refunds.  Notwithstanding the passion of political pleas imploring the Commission to refund unjust and unreasonable rates paid in the summer of 2000, the Commission properly resists initiation of such litigation.  First, the Commission has not made, nor should it make, any finding that particular prices paid or bids made were unjust and unreasonable.  The Proposed Order’s references to past unjust and unreasonable rates refers to market based rate authority that was undermined by the serious market flaws that the Proposed Order sets out to correct.  There have been no findings that any particular bids were unjust and unreasonable, nor need there be to support the Commission’s prospective remedies under Section 206.  Second, the Commission lacks legal authority to order retroactive refunds and, therefore, it should make no findings regarding matters beyond its jurisdiction.</w:t>
      </w:r>
    </w:p>
    <w:p>
      <w:pPr>
        <w:pStyle w:val="BodyTextStyle"/>
        <w:rPr/>
      </w:pPr>
      <w:r>
        <w:rPr/>
        <w:t xml:space="preserve">Some have suggested that market-based rates are somehow not subject to Commission precedent governing the filed rate doctrine and its corollary doctrine precluding retroactive refunds.  The case most cited by those seeking to escape the filed rate doctrine, </w:t>
      </w:r>
      <w:r>
        <w:rPr>
          <w:i/>
        </w:rPr>
        <w:t>Farmers Central Union v  FERC</w:t>
      </w:r>
      <w:r>
        <w:rPr/>
        <w:t>,</w:t>
      </w:r>
      <w:r>
        <w:rPr>
          <w:rStyle w:val="FootnoteCharacters"/>
          <w:rStyle w:val="FootnoteReference"/>
        </w:rPr>
        <w:footnoteReference w:id="29"/>
      </w:r>
      <w:r>
        <w:rPr/>
        <w:t xml:space="preserve"> authorizes light handed regulation when justified by a showing that the goals and purposes of the statute can be accomplished without traditional regulatory oversight.</w:t>
      </w:r>
      <w:r>
        <w:rPr>
          <w:rStyle w:val="FootnoteCharacters"/>
          <w:rStyle w:val="FootnoteReference"/>
        </w:rPr>
        <w:footnoteReference w:id="30"/>
      </w:r>
      <w:r>
        <w:rPr/>
        <w:t xml:space="preserve">  The Commission has approved numerous market based rate applications in the face of arguments that such pricing is inconsistent with </w:t>
      </w:r>
      <w:r>
        <w:rPr>
          <w:i/>
        </w:rPr>
        <w:t>Farmers Central.</w:t>
      </w:r>
      <w:r>
        <w:rPr>
          <w:rStyle w:val="FootnoteCharacters"/>
          <w:rStyle w:val="FootnoteReference"/>
          <w:i/>
        </w:rPr>
        <w:footnoteReference w:id="31"/>
      </w:r>
    </w:p>
    <w:p>
      <w:pPr>
        <w:pStyle w:val="BodyTextStyle"/>
        <w:rPr/>
      </w:pPr>
      <w:r>
        <w:rPr/>
        <w:t>Some argue that the filed rate doctrine doesn’t apply because the bids made and prices charged were unjust and unreasonable and, therefore, were not covered by the filed rate doctrine.  First, there has been no finding, nor is there any basis for such a finding, that all or even any prices received in the wholesale power markets were unjust and unreasonable.  Second, the filed rate doctrine embraces the market based rate authority in toto.  This authority, which is embodied in approved tariffs on file with the Commission, allows suppliers to obtain whatever prices are available under applicable market rules.  So long as the supplier has not violated the market rules incorporated in the tariff, the filed rate doctrine applies to whatever prices are realized.</w:t>
      </w:r>
      <w:r>
        <w:rPr>
          <w:rStyle w:val="FootnoteCharacters"/>
          <w:rStyle w:val="FootnoteReference"/>
        </w:rPr>
        <w:footnoteReference w:id="32"/>
      </w:r>
      <w:r>
        <w:rPr/>
        <w:t xml:space="preserve">  It is of further note that recent lawsuits filed in state court by two of the California IOUs asserts that amounts they paid in wholesale prices were pursuant to approved FERC rates, bringing those prices within the ambit of the filed rate doctrine and, therefore, subject to automatic pass-through by the CPUC under the </w:t>
      </w:r>
      <w:r>
        <w:rPr>
          <w:i/>
        </w:rPr>
        <w:t>Nantahala</w:t>
      </w:r>
      <w:r>
        <w:rPr/>
        <w:t xml:space="preserve"> doctrine.</w:t>
      </w:r>
      <w:r>
        <w:rPr>
          <w:rStyle w:val="FootnoteCharacters"/>
          <w:rStyle w:val="FootnoteReference"/>
        </w:rPr>
        <w:footnoteReference w:id="33"/>
      </w:r>
      <w:r>
        <w:rPr/>
        <w:t xml:space="preserve">   </w:t>
      </w:r>
    </w:p>
    <w:p>
      <w:pPr>
        <w:pStyle w:val="BodyTextStyle"/>
        <w:rPr/>
      </w:pPr>
      <w:r>
        <w:rPr/>
        <w:t xml:space="preserve">Finally, the express provisions of Section 206 strongly support the position that the statutory grant of retroactive refunds after a refund effective date implies that retroactive refunds before a refund effective date are not authorized.  Thus, the Commission has properly, on its own initiative, ordered an investigation under Section 206, which triggered the establishment of a refund effective date, and, implicitly, precluded refunds from prior periods. </w:t>
      </w:r>
    </w:p>
    <w:p>
      <w:pPr>
        <w:pStyle w:val="BodyTextStyle"/>
        <w:rPr/>
      </w:pPr>
      <w:r>
        <w:rPr/>
        <w:t>As a practical matter, refunds of prices received during the summer of 2000 would present insuperable obstacles to the Commission.  The California bulk power markets are among the most liquid markets in the country and there is no feasible way to apportion responsibility among suppliers for any market prices found to exceed just and reasonable levels.  Many participants in the California markets are beyond Commission jurisdiction, which would introduce a glaring inequity among market competitors.  Nor is there any fair means of apportioning refunds among wholesale purchasers, especially since the IOUs contributed to the prices by over relying on spot markets and they benefited from the prices in their capacity as suppliers from retained assets.</w:t>
      </w:r>
    </w:p>
    <w:p>
      <w:pPr>
        <w:pStyle w:val="BodyTextStyle"/>
        <w:rPr/>
      </w:pPr>
      <w:r>
        <w:rPr/>
        <w:t>The Commission should hold fast in its final order and resist political calls for refund proceedings which are beyond its lawful jurisdiction.</w:t>
      </w:r>
    </w:p>
    <w:p>
      <w:pPr>
        <w:pStyle w:val="Center"/>
        <w:rPr>
          <w:b/>
        </w:rPr>
      </w:pPr>
      <w:r>
        <w:rPr>
          <w:b/>
        </w:rPr>
        <w:t>CONCLUSION</w:t>
      </w:r>
    </w:p>
    <w:p>
      <w:pPr>
        <w:pStyle w:val="BodyTextStyle"/>
        <w:rPr/>
      </w:pPr>
      <w:r>
        <w:rPr/>
        <w:t xml:space="preserve">The Commission’s Proposed Order rests on solid investigatory findings contained in the Staff Report.  Those findings amply support the Commission’s proposed remedies designed to fix the glaring insufficiency of forward contracting in the California wholesale electricity market.  EPSA generally supports those remedies, except that it recommends substantial refinement of the soft cap.  The Commission’s legal analysis and factual findings provide no justification for initiation of politically charged refund proceedings pertaining to prices received during the summer of 2000.  </w:t>
      </w:r>
    </w:p>
    <w:p>
      <w:pPr>
        <w:pStyle w:val="BodyTextStyle"/>
        <w:rPr/>
      </w:pPr>
      <w:r>
        <w:rPr/>
        <w:t>With the changes suggested herein, the Commission should finalize its Proposed Order.</w:t>
      </w:r>
    </w:p>
    <w:p>
      <w:pPr>
        <w:pStyle w:val="BodyTextStyle"/>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Arial Unicode M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30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1220980</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Q64401!.DOC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1220980</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Q64401!.DOC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rPr/>
      </w:pPr>
      <w:r>
        <w:rPr>
          <w:rStyle w:val="FootnoteCharacters"/>
        </w:rPr>
        <w:footnoteRef/>
      </w:r>
      <w:r>
        <w:rPr/>
        <w:t xml:space="preserve"> </w:t>
      </w:r>
      <w:r>
        <w:rPr/>
        <w:t xml:space="preserve">EPSA is the national trade association representing competitive power suppliers active in U.S. and global power markets.  EPSA’s members, which include power generators, power marketers and suppliers of goods and services to the electric power supply industry, share a commitment to bringing the benefits of competition to all electric customers.  Using a broad spectrum of fossil-fuel and renewable technologies, EPSA members generate reliable, competitively priced electricity, steam and other forms of useful energy from environmentally-responsible facilities.  The comments contained in this filing represent the position of EPSA as an organization, but not necessarily the views of any particular member with respect to any issue. </w:t>
      </w:r>
    </w:p>
  </w:footnote>
  <w:footnote w:id="3">
    <w:p>
      <w:pPr>
        <w:pStyle w:val="FootnoteText"/>
        <w:spacing w:lineRule="auto" w:line="240" w:before="0" w:after="120"/>
        <w:rPr/>
      </w:pPr>
      <w:r>
        <w:rPr>
          <w:rStyle w:val="FootnoteCharacters"/>
        </w:rPr>
        <w:footnoteRef/>
      </w:r>
      <w:r>
        <w:rPr/>
        <w:t xml:space="preserve"> </w:t>
      </w:r>
      <w:r>
        <w:rPr/>
        <w:t xml:space="preserve">93 FERC   ¶61,121(2000).  Herein, page citations to the Proposed Order are to the slip opinion. </w:t>
      </w:r>
    </w:p>
  </w:footnote>
  <w:footnote w:id="4">
    <w:p>
      <w:pPr>
        <w:pStyle w:val="FootnoteText"/>
        <w:spacing w:lineRule="auto" w:line="240" w:before="0" w:after="120"/>
        <w:rPr/>
      </w:pPr>
      <w:r>
        <w:rPr>
          <w:rStyle w:val="FootnoteCharacters"/>
        </w:rPr>
        <w:footnoteRef/>
      </w:r>
      <w:r>
        <w:rPr/>
        <w:t xml:space="preserve"> </w:t>
      </w:r>
      <w:r>
        <w:rPr/>
        <w:t>The Staff Report was issued on November 1, 2000, to accompany the Proposed Order.</w:t>
      </w:r>
    </w:p>
  </w:footnote>
  <w:footnote w:id="5">
    <w:p>
      <w:pPr>
        <w:pStyle w:val="FootnoteText"/>
        <w:spacing w:lineRule="auto" w:line="240" w:before="0" w:after="120"/>
        <w:rPr/>
      </w:pPr>
      <w:r>
        <w:rPr>
          <w:rStyle w:val="FootnoteCharacters"/>
        </w:rPr>
        <w:footnoteRef/>
      </w:r>
      <w:r>
        <w:rPr/>
        <w:t xml:space="preserve"> </w:t>
      </w:r>
      <w:r>
        <w:rPr/>
        <w:t>Proposed Order at 4.</w:t>
      </w:r>
    </w:p>
  </w:footnote>
  <w:footnote w:id="6">
    <w:p>
      <w:pPr>
        <w:pStyle w:val="FootnoteText"/>
        <w:spacing w:lineRule="auto" w:line="240" w:before="0" w:after="120"/>
        <w:rPr/>
      </w:pPr>
      <w:r>
        <w:rPr>
          <w:rStyle w:val="FootnoteCharacters"/>
        </w:rPr>
        <w:footnoteRef/>
      </w:r>
      <w:r>
        <w:rPr/>
        <w:t xml:space="preserve"> </w:t>
      </w:r>
      <w:r>
        <w:rPr/>
        <w:t>Staff Report at 1-4.</w:t>
      </w:r>
    </w:p>
  </w:footnote>
  <w:footnote w:id="7">
    <w:p>
      <w:pPr>
        <w:pStyle w:val="FootnoteText"/>
        <w:spacing w:lineRule="auto" w:line="240" w:before="0" w:after="120"/>
        <w:rPr/>
      </w:pPr>
      <w:r>
        <w:rPr>
          <w:rStyle w:val="FootnoteCharacters"/>
        </w:rPr>
        <w:footnoteRef/>
      </w:r>
      <w:r>
        <w:rPr/>
        <w:t xml:space="preserve"> </w:t>
      </w:r>
      <w:r>
        <w:rPr/>
        <w:tab/>
        <w:t>The Commission elsewhere in the Proposed Order recognizes that competitive market prices must be at the level sufficient to elicit new investment:</w:t>
      </w:r>
    </w:p>
  </w:footnote>
  <w:footnote w:id="8">
    <w:p>
      <w:pPr>
        <w:pStyle w:val="FootnoteText"/>
        <w:spacing w:lineRule="auto" w:line="240" w:before="0" w:after="120"/>
        <w:rPr/>
      </w:pPr>
      <w:r>
        <w:rPr>
          <w:rStyle w:val="FootnoteCharacters"/>
        </w:rPr>
        <w:footnoteRef/>
      </w:r>
      <w:r>
        <w:rPr/>
        <w:t xml:space="preserve"> </w:t>
      </w:r>
      <w:r>
        <w:rPr/>
        <w:t>Staff Report at [insert cites].</w:t>
      </w:r>
    </w:p>
  </w:footnote>
  <w:footnote w:id="9">
    <w:p>
      <w:pPr>
        <w:pStyle w:val="FootnoteText"/>
        <w:spacing w:lineRule="auto" w:line="240" w:before="0" w:after="120"/>
        <w:rPr/>
      </w:pPr>
      <w:r>
        <w:rPr>
          <w:rStyle w:val="FootnoteCharacters"/>
        </w:rPr>
        <w:footnoteRef/>
      </w:r>
      <w:r>
        <w:rPr/>
        <w:t xml:space="preserve"> </w:t>
      </w:r>
      <w:r>
        <w:rPr/>
        <w:t>Proposed Order at 21.</w:t>
      </w:r>
    </w:p>
  </w:footnote>
  <w:footnote w:id="10">
    <w:p>
      <w:pPr>
        <w:pStyle w:val="FootnoteText"/>
        <w:spacing w:lineRule="auto" w:line="240" w:before="0" w:after="120"/>
        <w:rPr/>
      </w:pPr>
      <w:r>
        <w:rPr>
          <w:rStyle w:val="FootnoteCharacters"/>
        </w:rPr>
        <w:footnoteRef/>
      </w:r>
      <w:r>
        <w:rPr/>
        <w:t xml:space="preserve"> </w:t>
      </w:r>
      <w:r>
        <w:rPr>
          <w:i/>
        </w:rPr>
        <w:t>California: The Real Story</w:t>
      </w:r>
      <w:r>
        <w:rPr/>
        <w:t xml:space="preserve">:  A Situation Analysis of the Electric Power Supply Association, September 11, 2000  </w:t>
      </w:r>
    </w:p>
  </w:footnote>
  <w:footnote w:id="11">
    <w:p>
      <w:pPr>
        <w:pStyle w:val="FootnoteText"/>
        <w:spacing w:lineRule="auto" w:line="240" w:before="0" w:after="120"/>
        <w:rPr/>
      </w:pPr>
      <w:r>
        <w:rPr>
          <w:rStyle w:val="FootnoteCharacters"/>
        </w:rPr>
        <w:footnoteRef/>
      </w:r>
      <w:r>
        <w:rPr/>
        <w:t xml:space="preserve"> </w:t>
      </w:r>
      <w:r>
        <w:rPr>
          <w:i/>
        </w:rPr>
        <w:t>An Initial Analysis of Recent Wholesale Prices, Price Caps and Their Effect on Competitive Bulk Power Markets</w:t>
      </w:r>
      <w:r>
        <w:rPr/>
        <w:t xml:space="preserve">, Boston Pacific, September 2000       </w:t>
      </w:r>
    </w:p>
  </w:footnote>
  <w:footnote w:id="12">
    <w:p>
      <w:pPr>
        <w:pStyle w:val="Normal"/>
        <w:rPr/>
      </w:pPr>
      <w:r>
        <w:rPr>
          <w:rStyle w:val="FootnoteCharacters"/>
        </w:rPr>
        <w:footnoteRef/>
      </w:r>
      <w:r>
        <w:rPr>
          <w:i/>
        </w:rPr>
        <w:t xml:space="preserve"> </w:t>
      </w:r>
      <w:r>
        <w:rPr>
          <w:i/>
        </w:rPr>
        <w:t>Price Movements in California Power Exchange Markets, Analysis of Price Activity: May-September 2000</w:t>
      </w:r>
      <w:r>
        <w:rPr/>
        <w:t>, California Power Exchange, November 1, 2000</w:t>
      </w:r>
    </w:p>
    <w:p>
      <w:pPr>
        <w:pStyle w:val="Normal"/>
        <w:rPr/>
      </w:pPr>
      <w:r>
        <w:rPr/>
      </w:r>
    </w:p>
  </w:footnote>
  <w:footnote w:id="13">
    <w:p>
      <w:pPr>
        <w:pStyle w:val="Normal"/>
        <w:rPr/>
      </w:pPr>
      <w:r>
        <w:rPr>
          <w:rStyle w:val="FootnoteCharacters"/>
        </w:rPr>
        <w:footnoteRef/>
      </w:r>
      <w:r>
        <w:rPr/>
        <w:t xml:space="preserve"> </w:t>
      </w:r>
      <w:r>
        <w:rPr/>
        <w:t xml:space="preserve">An Analysis of the June 2000 Price Spikes in the California ISO's Energy and Ancillary Service Markets, ISO Market Surveillance Committee, September 6, 2000 </w:t>
      </w:r>
    </w:p>
    <w:p>
      <w:pPr>
        <w:pStyle w:val="Normal"/>
        <w:rPr/>
      </w:pPr>
      <w:r>
        <w:rPr/>
      </w:r>
    </w:p>
  </w:footnote>
  <w:footnote w:id="14">
    <w:p>
      <w:pPr>
        <w:pStyle w:val="FootnoteText"/>
        <w:spacing w:lineRule="auto" w:line="240" w:before="0" w:after="120"/>
        <w:rPr/>
      </w:pPr>
      <w:r>
        <w:rPr>
          <w:rStyle w:val="FootnoteCharacters"/>
        </w:rPr>
        <w:footnoteRef/>
      </w:r>
      <w:r>
        <w:rPr/>
        <w:t xml:space="preserve"> </w:t>
      </w:r>
      <w:r>
        <w:rPr/>
        <w:t xml:space="preserve">Summary of Western Power Market Prices, Summer 2000, Final Report, Issued October 11, 2000, Northwest Power Planning Council document 2000-18  .  The NPPC Report concludes that the market prices seen this summer are a tangible manifestation of the fundamental problems identified in the Council’s power supply adequacy study of last winter.  The NPPC report continued:  This summer, the system, which already is facing tight supplies, has been further stressed by combinations of unusually high load, poor hydropower conditions, and forced outages of thermal units.”  Moreover the report found “no clear evidence of withholding.”  NPPC Report at 35                       </w:t>
      </w:r>
    </w:p>
  </w:footnote>
  <w:footnote w:id="15">
    <w:p>
      <w:pPr>
        <w:pStyle w:val="FootnoteText"/>
        <w:spacing w:lineRule="auto" w:line="240" w:before="0" w:after="120"/>
        <w:rPr/>
      </w:pPr>
      <w:r>
        <w:rPr>
          <w:rStyle w:val="FootnoteCharacters"/>
        </w:rPr>
        <w:footnoteRef/>
      </w:r>
      <w:r>
        <w:rPr/>
        <w:t xml:space="preserve"> </w:t>
      </w:r>
      <w:r>
        <w:rPr/>
        <w:t>Proposed Order at 3.</w:t>
      </w:r>
    </w:p>
  </w:footnote>
  <w:footnote w:id="16">
    <w:p>
      <w:pPr>
        <w:pStyle w:val="FootnoteText"/>
        <w:spacing w:lineRule="auto" w:line="240" w:before="0" w:after="120"/>
        <w:rPr/>
      </w:pPr>
      <w:r>
        <w:rPr>
          <w:rStyle w:val="FootnoteCharacters"/>
        </w:rPr>
        <w:footnoteRef/>
      </w:r>
      <w:r>
        <w:rPr/>
        <w:t xml:space="preserve"> </w:t>
      </w:r>
      <w:r>
        <w:rPr/>
        <w:t>Staff Report at 1-4 (emphasis in original).</w:t>
      </w:r>
    </w:p>
  </w:footnote>
  <w:footnote w:id="17">
    <w:p>
      <w:pPr>
        <w:pStyle w:val="FootnoteText"/>
        <w:spacing w:lineRule="auto" w:line="240" w:before="0" w:after="120"/>
        <w:rPr/>
      </w:pPr>
      <w:r>
        <w:rPr>
          <w:rStyle w:val="FootnoteCharacters"/>
        </w:rPr>
        <w:footnoteRef/>
      </w:r>
      <w:r>
        <w:rPr/>
        <w:t xml:space="preserve"> </w:t>
      </w:r>
      <w:r>
        <w:rPr>
          <w:i/>
        </w:rPr>
        <w:t>Id</w:t>
      </w:r>
      <w:r>
        <w:rPr/>
        <w:t xml:space="preserve">. </w:t>
      </w:r>
    </w:p>
  </w:footnote>
  <w:footnote w:id="18">
    <w:p>
      <w:pPr>
        <w:pStyle w:val="FootnoteText"/>
        <w:spacing w:lineRule="auto" w:line="240" w:before="0" w:after="120"/>
        <w:rPr/>
      </w:pPr>
      <w:r>
        <w:rPr>
          <w:rStyle w:val="FootnoteCharacters"/>
        </w:rPr>
        <w:footnoteRef/>
      </w:r>
      <w:r>
        <w:rPr/>
        <w:t xml:space="preserve"> </w:t>
      </w:r>
      <w:r>
        <w:rPr>
          <w:i/>
        </w:rPr>
        <w:t>Id</w:t>
      </w:r>
      <w:r>
        <w:rPr/>
        <w:t xml:space="preserve">.  </w:t>
      </w:r>
    </w:p>
  </w:footnote>
  <w:footnote w:id="19">
    <w:p>
      <w:pPr>
        <w:pStyle w:val="FootnoteText"/>
        <w:spacing w:lineRule="auto" w:line="240" w:before="0" w:after="120"/>
        <w:rPr/>
      </w:pPr>
      <w:r>
        <w:rPr>
          <w:rStyle w:val="FootnoteCharacters"/>
        </w:rPr>
        <w:footnoteRef/>
      </w:r>
      <w:r>
        <w:rPr/>
        <w:t xml:space="preserve"> </w:t>
      </w:r>
      <w:r>
        <w:rPr/>
        <w:t xml:space="preserve">Louisiana Energy &amp; Power Auth. V. FERC, 141 F.3d (1998), citing, Citizens Power &amp; Light Corp., 48 FERC ¶61,210 at 61,777(1989).  </w:t>
      </w:r>
      <w:r>
        <w:rPr>
          <w:i/>
        </w:rPr>
        <w:t>See also Williams Pipe Line Co., et. al.</w:t>
      </w:r>
      <w:r>
        <w:rPr/>
        <w:t>, 71 FERC ¶61,291 (1995) (accepting definition of market power as “a firm’s ability to sustain a price increase over a significant period of time, or to exclude competition.”).</w:t>
      </w:r>
    </w:p>
  </w:footnote>
  <w:footnote w:id="20">
    <w:p>
      <w:pPr>
        <w:pStyle w:val="FootnoteText"/>
        <w:spacing w:lineRule="auto" w:line="240" w:before="0" w:after="120"/>
        <w:rPr/>
      </w:pPr>
      <w:r>
        <w:rPr>
          <w:rStyle w:val="FootnoteCharacters"/>
        </w:rPr>
        <w:footnoteRef/>
      </w:r>
      <w:r>
        <w:rPr/>
        <w:t xml:space="preserve"> </w:t>
      </w:r>
      <w:r>
        <w:rPr/>
        <w:t>Proposed Order at 25.</w:t>
      </w:r>
    </w:p>
  </w:footnote>
  <w:footnote w:id="21">
    <w:p>
      <w:pPr>
        <w:pStyle w:val="FootnoteText"/>
        <w:spacing w:lineRule="auto" w:line="240" w:before="0" w:after="120"/>
        <w:rPr/>
      </w:pPr>
      <w:r>
        <w:rPr>
          <w:rStyle w:val="FootnoteCharacters"/>
        </w:rPr>
        <w:footnoteRef/>
      </w:r>
      <w:r>
        <w:rPr/>
        <w:t xml:space="preserve"> </w:t>
      </w:r>
      <w:r>
        <w:rPr/>
        <w:t>EPSA is concerned that new boards be readily empowered to replace the discredited stakeholder boards.  From this perspective, EPSA shares concerns expressed by several witnesses at the public conference that the boards should not be hamstrung by legal challenges to their legitimacy.</w:t>
      </w:r>
    </w:p>
  </w:footnote>
  <w:footnote w:id="22">
    <w:p>
      <w:pPr>
        <w:pStyle w:val="FootnoteText"/>
        <w:spacing w:lineRule="auto" w:line="240" w:before="0" w:after="120"/>
        <w:rPr/>
      </w:pPr>
      <w:r>
        <w:rPr>
          <w:rStyle w:val="FootnoteCharacters"/>
        </w:rPr>
        <w:footnoteRef/>
      </w:r>
      <w:r>
        <w:rPr/>
        <w:t xml:space="preserve"> </w:t>
      </w:r>
      <w:r>
        <w:rPr>
          <w:i/>
        </w:rPr>
        <w:t>Puget Sound Energy v. All Jurisdictional Sellers of Energy and/or Capacity at Wholesale Into Electric Energy and/or Capacity in the Pacific Northwest, Including Parties to the Western System Power Pool Agreement</w:t>
      </w:r>
      <w:r>
        <w:rPr/>
        <w:t>, Docket No. EL01-10-000</w:t>
      </w:r>
    </w:p>
  </w:footnote>
  <w:footnote w:id="23">
    <w:p>
      <w:pPr>
        <w:pStyle w:val="FootnoteText"/>
        <w:rPr/>
      </w:pPr>
      <w:r>
        <w:rPr>
          <w:rStyle w:val="FootnoteCharacters"/>
        </w:rPr>
        <w:footnoteRef/>
      </w:r>
      <w:r>
        <w:rPr/>
        <w:t xml:space="preserve"> </w:t>
      </w:r>
      <w:r>
        <w:rPr/>
        <w:t>Study of Western Power Markets Prices Summer 2000, Final Report issues October 11, 2000 at 6, 35-36. “NPPC Report”  The NPPC Report at 6 says:</w:t>
      </w:r>
    </w:p>
    <w:p>
      <w:pPr>
        <w:pStyle w:val="FootnoteText"/>
        <w:spacing w:before="0" w:after="120"/>
        <w:ind w:start="720" w:end="0"/>
        <w:rPr/>
      </w:pPr>
      <w:r>
        <w:rPr/>
        <w:t>The Council analysis of power supply adequacy indicated that market pries would not be sufficient to support the development of “merchant” power plants,</w:t>
      </w:r>
      <w:r>
        <w:rPr>
          <w:i/>
        </w:rPr>
        <w:t xml:space="preserve"> i.e.</w:t>
      </w:r>
      <w:r>
        <w:rPr/>
        <w:t xml:space="preserve">  plants selling into the spot market exclusively, until 2004.  The Council has also done analyses looking at actual market prices over the past year to see if prices had been sufficient for a new entrant to cover its variable operating costs and its fixed costs and earn a reasonable rate of return.  Until this summer the answer is “no”.  With the electricity and gas prices experienced over the past year, the answer has become “yes”.   Elsewhere the Report indicates that </w:t>
      </w:r>
      <w:r>
        <w:rPr>
          <w:b/>
        </w:rPr>
        <w:t>if</w:t>
      </w:r>
      <w:r>
        <w:rPr/>
        <w:t xml:space="preserve"> electricity and gas prices of the past year were to continue, there would be substantial incentive for the construction of new generation. (NPPC Report at 37 emphasis in original)       </w:t>
      </w:r>
    </w:p>
  </w:footnote>
  <w:footnote w:id="24">
    <w:p>
      <w:pPr>
        <w:pStyle w:val="FootnoteText"/>
        <w:spacing w:lineRule="auto" w:line="240" w:before="0" w:after="120"/>
        <w:rPr/>
      </w:pPr>
      <w:r>
        <w:rPr>
          <w:rStyle w:val="FootnoteCharacters"/>
        </w:rPr>
        <w:footnoteRef/>
      </w:r>
      <w:r>
        <w:rPr/>
        <w:t xml:space="preserve"> </w:t>
      </w:r>
      <w:r>
        <w:rPr>
          <w:i/>
        </w:rPr>
        <w:t>New York Independent System Operator Inc</w:t>
      </w:r>
      <w:r>
        <w:rPr/>
        <w:t xml:space="preserve">., 93 FERC ¶ 61,142 (2000). </w:t>
      </w:r>
    </w:p>
  </w:footnote>
  <w:footnote w:id="25">
    <w:p>
      <w:pPr>
        <w:pStyle w:val="FootnoteText"/>
        <w:spacing w:lineRule="auto" w:line="240" w:before="0" w:after="120"/>
        <w:rPr/>
      </w:pPr>
      <w:r>
        <w:rPr>
          <w:rStyle w:val="FootnoteCharacters"/>
        </w:rPr>
        <w:footnoteRef/>
      </w:r>
      <w:r>
        <w:rPr/>
        <w:t xml:space="preserve"> </w:t>
      </w:r>
      <w:r>
        <w:rPr/>
        <w:t xml:space="preserve">In New York, some ninety-four projects are in the queue to built but only one is expected to come on line in the new three to four year and the NYISO is examining ways in which it can work with state government, environmental groups and market participants to streamline the process.  Staff Report to the Federal Energy Regulatory Commission on the Bulk Power Markets in the United States, November 1, 2000 at page 1-10    </w:t>
      </w:r>
    </w:p>
  </w:footnote>
  <w:footnote w:id="26">
    <w:p>
      <w:pPr>
        <w:pStyle w:val="FootnoteText"/>
        <w:spacing w:lineRule="auto" w:line="240" w:before="0" w:after="120"/>
        <w:rPr/>
      </w:pPr>
      <w:r>
        <w:rPr>
          <w:rStyle w:val="FootnoteCharacters"/>
        </w:rPr>
        <w:footnoteRef/>
      </w:r>
      <w:r>
        <w:rPr/>
        <w:t xml:space="preserve"> </w:t>
      </w:r>
      <w:r>
        <w:rPr/>
        <w:t>need cites</w:t>
      </w:r>
    </w:p>
  </w:footnote>
  <w:footnote w:id="27">
    <w:p>
      <w:pPr>
        <w:pStyle w:val="FootnoteText"/>
        <w:spacing w:lineRule="auto" w:line="240" w:before="0" w:after="120"/>
        <w:rPr/>
      </w:pPr>
      <w:r>
        <w:rPr>
          <w:rStyle w:val="FootnoteCharacters"/>
        </w:rPr>
        <w:footnoteRef/>
      </w:r>
      <w:r>
        <w:rPr/>
        <w:t xml:space="preserve"> </w:t>
      </w:r>
      <w:r>
        <w:rPr/>
        <w:t xml:space="preserve">The NPPC Report mentioned early found that prices this summer reflected the normal interplay of supply and demand and that was “no clear evidence of withholding power off the market to drive up prices.”  NPPC Report at 5 </w:t>
      </w:r>
    </w:p>
  </w:footnote>
  <w:footnote w:id="28">
    <w:p>
      <w:pPr>
        <w:pStyle w:val="FootnoteText"/>
        <w:spacing w:lineRule="auto" w:line="240" w:before="0" w:after="120"/>
        <w:rPr/>
      </w:pPr>
      <w:r>
        <w:rPr>
          <w:rStyle w:val="FootnoteCharacters"/>
        </w:rPr>
        <w:footnoteRef/>
      </w:r>
      <w:r>
        <w:rPr/>
        <w:t xml:space="preserve"> </w:t>
      </w:r>
      <w:r>
        <w:rPr/>
        <w:t>Staff Report at 5-19</w:t>
      </w:r>
    </w:p>
  </w:footnote>
  <w:footnote w:id="29">
    <w:p>
      <w:pPr>
        <w:pStyle w:val="FootnoteText"/>
        <w:spacing w:lineRule="auto" w:line="240" w:before="0" w:after="120"/>
        <w:rPr/>
      </w:pPr>
      <w:r>
        <w:rPr>
          <w:rStyle w:val="FootnoteCharacters"/>
        </w:rPr>
        <w:footnoteRef/>
      </w:r>
      <w:r>
        <w:rPr/>
        <w:t xml:space="preserve"> </w:t>
      </w:r>
      <w:r>
        <w:rPr/>
        <w:t>734 F.2d 1486 (D.C. Cir. 1984).</w:t>
      </w:r>
    </w:p>
  </w:footnote>
  <w:footnote w:id="30">
    <w:p>
      <w:pPr>
        <w:pStyle w:val="FootnoteText"/>
        <w:spacing w:lineRule="auto" w:line="240" w:before="0" w:after="120"/>
        <w:rPr/>
      </w:pPr>
      <w:r>
        <w:rPr>
          <w:rStyle w:val="FootnoteCharacters"/>
        </w:rPr>
        <w:footnoteRef/>
      </w:r>
      <w:r>
        <w:rPr/>
        <w:t xml:space="preserve"> </w:t>
      </w:r>
      <w:r>
        <w:rPr>
          <w:i/>
        </w:rPr>
        <w:t>Alternatives to Traditional Cost of Service Ratemaking for Natural Gas Pipelines</w:t>
      </w:r>
      <w:r>
        <w:rPr/>
        <w:t>, 74 FERC ¶ 61,076 (citing therein</w:t>
      </w:r>
      <w:r>
        <w:rPr>
          <w:i/>
        </w:rPr>
        <w:t xml:space="preserve"> Elizabethtown Gas Co. v FERC,</w:t>
      </w:r>
      <w:r>
        <w:rPr/>
        <w:t xml:space="preserve"> 10 F3d 866 (D.C. Cir. 1993)(affirming Commission approval of market based rates under appropriate circumstances as meeting the requirement of the Act.)</w:t>
      </w:r>
    </w:p>
  </w:footnote>
  <w:footnote w:id="31">
    <w:p>
      <w:pPr>
        <w:pStyle w:val="FootnoteText"/>
        <w:spacing w:lineRule="auto" w:line="240" w:before="0" w:after="120"/>
        <w:rPr/>
      </w:pPr>
      <w:r>
        <w:rPr>
          <w:rStyle w:val="FootnoteCharacters"/>
        </w:rPr>
        <w:footnoteRef/>
      </w:r>
      <w:r>
        <w:rPr/>
        <w:t xml:space="preserve"> </w:t>
      </w:r>
      <w:r>
        <w:rPr/>
        <w:t>[insert cites].</w:t>
      </w:r>
    </w:p>
  </w:footnote>
  <w:footnote w:id="32">
    <w:p>
      <w:pPr>
        <w:pStyle w:val="FootnoteText"/>
        <w:spacing w:lineRule="auto" w:line="240" w:before="0" w:after="120"/>
        <w:rPr/>
      </w:pPr>
      <w:r>
        <w:rPr>
          <w:rStyle w:val="FootnoteCharacters"/>
        </w:rPr>
        <w:footnoteRef/>
      </w:r>
      <w:r>
        <w:rPr/>
        <w:t xml:space="preserve"> </w:t>
      </w:r>
      <w:r>
        <w:rPr>
          <w:i/>
        </w:rPr>
        <w:t>See</w:t>
      </w:r>
      <w:r>
        <w:rPr/>
        <w:t xml:space="preserve"> </w:t>
      </w:r>
      <w:r>
        <w:rPr>
          <w:i/>
        </w:rPr>
        <w:t>Alternatives to Traditional Cost of Service Ratemaking for Natural Gas Pipelines</w:t>
      </w:r>
      <w:r>
        <w:rPr/>
        <w:t>, 74 FERC ¶61076, 61,230 (1996)</w:t>
      </w:r>
    </w:p>
  </w:footnote>
  <w:footnote w:id="33">
    <w:p>
      <w:pPr>
        <w:pStyle w:val="FootnoteText"/>
        <w:spacing w:lineRule="auto" w:line="240" w:before="0" w:after="120"/>
        <w:rPr/>
      </w:pPr>
      <w:r>
        <w:rPr>
          <w:rStyle w:val="FootnoteCharacters"/>
        </w:rPr>
        <w:footnoteRef/>
      </w:r>
      <w:r>
        <w:rPr/>
        <w:t xml:space="preserve"> </w:t>
      </w:r>
      <w:r>
        <w:rPr>
          <w:i/>
        </w:rPr>
        <w:t>Nantahala Power &amp; Light Co. v. Thornburg</w:t>
      </w:r>
      <w:r>
        <w:rPr/>
        <w:t>, 476 U.S. 953 (1986).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rPr>
      <w:t>DRAFT</w:t>
    </w:r>
  </w:p>
  <w:p>
    <w:pPr>
      <w:pStyle w:val="Header"/>
      <w:rPr/>
    </w:pPr>
    <w:r>
      <w:rPr>
        <w:b/>
      </w:rPr>
      <w:tab/>
      <w:tab/>
    </w:r>
    <w:r>
      <w:rPr>
        <w:b/>
      </w:rPr>
      <w:fldChar w:fldCharType="begin"/>
    </w:r>
    <w:r>
      <w:rPr>
        <w:b/>
      </w:rPr>
      <w:instrText xml:space="preserve"> DATE \@"MM\/dd\/yy" </w:instrText>
    </w:r>
    <w:r>
      <w:rPr>
        <w:b/>
      </w:rPr>
      <w:fldChar w:fldCharType="separate"/>
    </w:r>
    <w:r>
      <w:rPr>
        <w:b/>
      </w:rPr>
      <w:t>09/28/25</w:t>
    </w:r>
    <w:r>
      <w:rPr>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b/>
      </w:rPr>
      <w:t>DRAFT</w:t>
    </w:r>
  </w:p>
  <w:p>
    <w:pPr>
      <w:pStyle w:val="Header"/>
      <w:rPr/>
    </w:pPr>
    <w:r>
      <w:rPr>
        <w:b/>
      </w:rPr>
      <w:tab/>
      <w:tab/>
    </w:r>
    <w:r>
      <w:rPr>
        <w:b/>
      </w:rPr>
      <w:fldChar w:fldCharType="begin"/>
    </w:r>
    <w:r>
      <w:rPr>
        <w:b/>
      </w:rPr>
      <w:instrText xml:space="preserve"> DATE \@"MM\/dd\/yy" </w:instrText>
    </w:r>
    <w:r>
      <w:rPr>
        <w:b/>
      </w:rPr>
      <w:fldChar w:fldCharType="separate"/>
    </w:r>
    <w:r>
      <w:rPr>
        <w:b/>
      </w:rPr>
      <w:t>09/28/25</w:t>
    </w:r>
    <w:r>
      <w:rPr>
        <w:b/>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Arial Unicode MS" w:hAnsi="Galliard;Arial Unicode MS" w:eastAsia="Times New Roman" w:cs="Galliard;Arial Unicode MS"/>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lineRule="auto" w:line="240"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2000-11-15T12:49:00Z</dcterms:created>
  <dc:creator>DSMO</dc:creator>
  <dc:description/>
  <dc:language>en-CA</dc:language>
  <cp:lastModifiedBy>Samantha Slater</cp:lastModifiedBy>
  <cp:lastPrinted>2000-11-17T09:02:00Z</cp:lastPrinted>
  <dcterms:modified xsi:type="dcterms:W3CDTF">2000-11-17T11:32:00Z</dcterms:modified>
  <cp:revision>120</cp:revision>
  <dc:subject/>
  <dc:title>EPSA comments on California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Q64401!.DOC</vt:lpwstr>
  </property>
  <property fmtid="{D5CDD505-2E9C-101B-9397-08002B2CF9AE}" pid="3" name="DOCSDocVer">
    <vt:lpwstr>1</vt:lpwstr>
  </property>
  <property fmtid="{D5CDD505-2E9C-101B-9397-08002B2CF9AE}" pid="4" name="DOCSNumber">
    <vt:lpwstr>1220980</vt:lpwstr>
  </property>
</Properties>
</file>