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tab/>
      </w:r>
      <w:r>
        <mc:AlternateContent>
          <mc:Choice Requires="wps">
            <w:drawing>
              <wp:anchor behindDoc="0" distT="0" distB="0" distL="118745" distR="118745" simplePos="0" locked="0" layoutInCell="0" allowOverlap="1" relativeHeight="2">
                <wp:simplePos x="0" y="0"/>
                <wp:positionH relativeFrom="page">
                  <wp:posOffset>2922270</wp:posOffset>
                </wp:positionH>
                <wp:positionV relativeFrom="paragraph">
                  <wp:posOffset>-551815</wp:posOffset>
                </wp:positionV>
                <wp:extent cx="3978275" cy="511810"/>
                <wp:effectExtent l="0" t="0" r="0" b="0"/>
                <wp:wrapSquare wrapText="bothSides"/>
                <wp:docPr id="1" name="Frame1"/>
                <a:graphic xmlns:a="http://schemas.openxmlformats.org/drawingml/2006/main">
                  <a:graphicData uri="http://schemas.microsoft.com/office/word/2010/wordprocessingShape">
                    <wps:wsp>
                      <wps:cNvSpPr txBox="1"/>
                      <wps:spPr>
                        <a:xfrm>
                          <a:off x="0" y="0"/>
                          <a:ext cx="3978275" cy="511810"/>
                        </a:xfrm>
                        <a:prstGeom prst="rect"/>
                        <a:solidFill>
                          <a:srgbClr val="FFFFFF">
                            <a:alpha val="0"/>
                          </a:srgbClr>
                        </a:solidFill>
                      </wps:spPr>
                      <wps:txbx>
                        <w:txbxContent>
                          <w:p>
                            <w:pPr>
                              <w:pStyle w:val="Normal"/>
                              <w:ind w:end="-4519"/>
                              <w:rPr/>
                            </w:pPr>
                            <w:r>
                              <w:rPr/>
                              <w:drawing>
                                <wp:inline distT="0" distB="0" distL="0" distR="0">
                                  <wp:extent cx="2105660" cy="504825"/>
                                  <wp:effectExtent l="0" t="0" r="0" b="0"/>
                                  <wp:docPr id="2" name="Apxlogo_R_sm"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xlogo_R_sm" descr="" title=""/>
                                          <pic:cNvPicPr>
                                            <a:picLocks noChangeAspect="1" noChangeArrowheads="1"/>
                                          </pic:cNvPicPr>
                                        </pic:nvPicPr>
                                        <pic:blipFill>
                                          <a:blip r:embed="rId2"/>
                                          <a:srcRect l="-7" t="-36" r="-7" b="-36"/>
                                          <a:stretch>
                                            <a:fillRect/>
                                          </a:stretch>
                                        </pic:blipFill>
                                        <pic:spPr bwMode="auto">
                                          <a:xfrm>
                                            <a:off x="0" y="0"/>
                                            <a:ext cx="2105660" cy="504825"/>
                                          </a:xfrm>
                                          <a:prstGeom prst="rect">
                                            <a:avLst/>
                                          </a:prstGeom>
                                          <a:noFill/>
                                        </pic:spPr>
                                      </pic:pic>
                                    </a:graphicData>
                                  </a:graphic>
                                </wp:inline>
                              </w:drawing>
                            </w:r>
                            <w:r>
                              <w:rPr/>
                              <w:t xml:space="preserve">                                                     </w:t>
                            </w:r>
                          </w:p>
                        </w:txbxContent>
                      </wps:txbx>
                      <wps:bodyPr anchor="t" lIns="0" tIns="0" rIns="0" bIns="0">
                        <a:noAutofit/>
                      </wps:bodyPr>
                    </wps:wsp>
                  </a:graphicData>
                </a:graphic>
              </wp:anchor>
            </w:drawing>
          </mc:Choice>
          <mc:Fallback>
            <w:pict>
              <v:rect fillcolor="#FFFFFF" style="position:absolute;rotation:-0;width:313.25pt;height:40.3pt;mso-wrap-distance-left:9.35pt;mso-wrap-distance-right:9.35pt;mso-wrap-distance-top:0pt;mso-wrap-distance-bottom:0pt;margin-top:-43.45pt;mso-position-vertical-relative:text;margin-left:230.1pt;mso-position-horizontal-relative:page">
                <v:fill opacity="0f"/>
                <v:textbox inset="0in,0in,0in,0in">
                  <w:txbxContent>
                    <w:p>
                      <w:pPr>
                        <w:pStyle w:val="Normal"/>
                        <w:ind w:end="-4519"/>
                        <w:rPr/>
                      </w:pPr>
                      <w:r>
                        <w:rPr/>
                        <w:drawing>
                          <wp:inline distT="0" distB="0" distL="0" distR="0">
                            <wp:extent cx="2105660" cy="504825"/>
                            <wp:effectExtent l="0" t="0" r="0" b="0"/>
                            <wp:docPr id="3" name="Apxlogo_R_sm"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pxlogo_R_sm" descr="" title=""/>
                                    <pic:cNvPicPr>
                                      <a:picLocks noChangeAspect="1" noChangeArrowheads="1"/>
                                    </pic:cNvPicPr>
                                  </pic:nvPicPr>
                                  <pic:blipFill>
                                    <a:blip r:embed="rId3"/>
                                    <a:srcRect l="-7" t="-36" r="-7" b="-36"/>
                                    <a:stretch>
                                      <a:fillRect/>
                                    </a:stretch>
                                  </pic:blipFill>
                                  <pic:spPr bwMode="auto">
                                    <a:xfrm>
                                      <a:off x="0" y="0"/>
                                      <a:ext cx="2105660" cy="504825"/>
                                    </a:xfrm>
                                    <a:prstGeom prst="rect">
                                      <a:avLst/>
                                    </a:prstGeom>
                                    <a:noFill/>
                                  </pic:spPr>
                                </pic:pic>
                              </a:graphicData>
                            </a:graphic>
                          </wp:inline>
                        </w:drawing>
                      </w:r>
                      <w:r>
                        <w:rPr/>
                        <w:t xml:space="preserve">                                                     </w:t>
                      </w:r>
                    </w:p>
                  </w:txbxContent>
                </v:textbox>
                <w10:wrap type="square"/>
              </v:rect>
            </w:pict>
          </mc:Fallback>
        </mc:AlternateContent>
      </w:r>
    </w:p>
    <w:p>
      <w:pPr>
        <w:pStyle w:val="Normal"/>
        <w:numPr>
          <w:ilvl w:val="0"/>
          <w:numId w:val="0"/>
        </w:numPr>
        <w:ind w:firstLine="450" w:end="0"/>
        <w:outlineLvl w:val="0"/>
        <w:rPr>
          <w:sz w:val="16"/>
        </w:rPr>
      </w:pPr>
      <w:r>
        <w:rPr>
          <w:sz w:val="16"/>
        </w:rPr>
        <w:t>5201 Great America Parkway, Suite 522, Santa Clara, CA, 95054</w:t>
        <w:tab/>
        <w:tab/>
        <w:tab/>
        <w:tab/>
        <w:tab/>
        <w:tab/>
        <w:tab/>
      </w:r>
    </w:p>
    <w:p>
      <w:pPr>
        <w:pStyle w:val="Normal"/>
        <w:ind w:firstLine="450" w:end="0"/>
        <w:rPr>
          <w:sz w:val="16"/>
        </w:rPr>
      </w:pPr>
      <w:r>
        <w:rPr>
          <w:sz w:val="16"/>
        </w:rPr>
        <w:t xml:space="preserve">voice 408 517-2100,  fax 408 517-2985 </w:t>
        <w:tab/>
        <w:tab/>
        <w:tab/>
        <w:tab/>
        <w:tab/>
        <w:tab/>
        <w:tab/>
      </w:r>
    </w:p>
    <w:p>
      <w:pPr>
        <w:pStyle w:val="Normal"/>
        <w:rPr>
          <w:sz w:val="24"/>
        </w:rPr>
      </w:pPr>
      <w:r>
        <w:rPr>
          <w:sz w:val="24"/>
        </w:rPr>
      </w:r>
    </w:p>
    <w:p>
      <w:pPr>
        <w:pStyle w:val="Normal"/>
        <w:jc w:val="center"/>
        <w:rPr>
          <w:b/>
          <w:sz w:val="24"/>
        </w:rPr>
      </w:pPr>
      <w:r>
        <w:rPr>
          <w:b/>
          <w:sz w:val="24"/>
        </w:rPr>
        <w:t>Congestion Management Through Markets</w:t>
      </w:r>
    </w:p>
    <w:p>
      <w:pPr>
        <w:pStyle w:val="Normal"/>
        <w:jc w:val="center"/>
        <w:rPr>
          <w:b/>
          <w:sz w:val="24"/>
        </w:rPr>
      </w:pPr>
      <w:r>
        <w:rPr>
          <w:b/>
          <w:sz w:val="24"/>
        </w:rPr>
        <w:t>Wednesday, February 21, 2001</w:t>
      </w:r>
    </w:p>
    <w:p>
      <w:pPr>
        <w:pStyle w:val="Normal"/>
        <w:jc w:val="center"/>
        <w:rPr>
          <w:b/>
          <w:sz w:val="22"/>
        </w:rPr>
      </w:pPr>
      <w:r>
        <w:rPr>
          <w:b/>
          <w:sz w:val="22"/>
        </w:rPr>
        <w:t>TechMart Building, (Next door to the Westin Hotel)</w:t>
      </w:r>
    </w:p>
    <w:p>
      <w:pPr>
        <w:pStyle w:val="Normal"/>
        <w:jc w:val="center"/>
        <w:rPr>
          <w:b/>
          <w:sz w:val="22"/>
        </w:rPr>
      </w:pPr>
      <w:r>
        <w:rPr>
          <w:b/>
          <w:sz w:val="22"/>
        </w:rPr>
        <w:t>5201 Great America Parkway, Santa Clara, CA</w:t>
      </w:r>
    </w:p>
    <w:p>
      <w:pPr>
        <w:pStyle w:val="Normal"/>
        <w:jc w:val="center"/>
        <w:rPr/>
      </w:pPr>
      <w:r>
        <w:rPr>
          <w:b/>
          <w:sz w:val="22"/>
        </w:rPr>
        <w:t>Palo Alto Room – 5</w:t>
      </w:r>
      <w:r>
        <w:rPr>
          <w:b/>
          <w:sz w:val="22"/>
          <w:vertAlign w:val="superscript"/>
        </w:rPr>
        <w:t>th</w:t>
      </w:r>
      <w:r>
        <w:rPr>
          <w:b/>
          <w:sz w:val="22"/>
        </w:rPr>
        <w:t xml:space="preserve"> Floor</w:t>
      </w:r>
    </w:p>
    <w:p>
      <w:pPr>
        <w:pStyle w:val="Normal"/>
        <w:rPr>
          <w:b/>
          <w:sz w:val="22"/>
        </w:rPr>
      </w:pPr>
      <w:r>
        <w:rPr>
          <w:b/>
          <w:sz w:val="22"/>
        </w:rPr>
      </w:r>
    </w:p>
    <w:p>
      <w:pPr>
        <w:pStyle w:val="Heading3"/>
        <w:ind w:hanging="0" w:start="0"/>
        <w:rPr/>
      </w:pPr>
      <w:r>
        <w:rPr/>
        <w:t>Preliminary Agenda</w:t>
      </w:r>
    </w:p>
    <w:p>
      <w:pPr>
        <w:pStyle w:val="Normal"/>
        <w:rPr>
          <w:sz w:val="22"/>
        </w:rPr>
      </w:pPr>
      <w:r>
        <w:rPr>
          <w:sz w:val="22"/>
        </w:rPr>
      </w:r>
    </w:p>
    <w:p>
      <w:pPr>
        <w:pStyle w:val="Normal"/>
        <w:rPr>
          <w:sz w:val="22"/>
        </w:rPr>
      </w:pPr>
      <w:r>
        <w:rPr>
          <w:sz w:val="22"/>
        </w:rPr>
        <w:t>09:30</w:t>
        <w:tab/>
        <w:t>Coffee and muffins available for your convenience</w:t>
      </w:r>
    </w:p>
    <w:p>
      <w:pPr>
        <w:pStyle w:val="Normal"/>
        <w:rPr>
          <w:sz w:val="22"/>
        </w:rPr>
      </w:pPr>
      <w:r>
        <w:rPr>
          <w:sz w:val="22"/>
        </w:rPr>
        <w:t>10:00</w:t>
        <w:tab/>
        <w:t>Introduction and Objectives for Congestion Management this Summer</w:t>
      </w:r>
    </w:p>
    <w:p>
      <w:pPr>
        <w:pStyle w:val="Normal"/>
        <w:rPr>
          <w:sz w:val="22"/>
        </w:rPr>
      </w:pPr>
      <w:r>
        <w:rPr>
          <w:sz w:val="22"/>
        </w:rPr>
        <w:t>10:15</w:t>
        <w:tab/>
        <w:t>Status of Congestion Impacts</w:t>
      </w:r>
    </w:p>
    <w:p>
      <w:pPr>
        <w:pStyle w:val="BodyText2"/>
        <w:rPr/>
      </w:pPr>
      <w:r>
        <w:rPr/>
        <w:t>10:30</w:t>
        <w:tab/>
        <w:t>Fundamentals – adjustment bid interpretation for a bilateral forward market is different than for the zonal priced day ahead auction market run by the CalPX.</w:t>
      </w:r>
    </w:p>
    <w:p>
      <w:pPr>
        <w:pStyle w:val="BodyText2"/>
        <w:rPr/>
      </w:pPr>
      <w:r>
        <w:rPr/>
        <w:t>11:00</w:t>
        <w:tab/>
        <w:t>Baseline Market Proposal – forward energy settlement of contracted bilateral positions with contracts-for-differences and zonal pricing for adjustment bids with the CAISO.</w:t>
      </w:r>
    </w:p>
    <w:p>
      <w:pPr>
        <w:pStyle w:val="Normal"/>
        <w:numPr>
          <w:ilvl w:val="0"/>
          <w:numId w:val="2"/>
        </w:numPr>
        <w:rPr>
          <w:sz w:val="22"/>
        </w:rPr>
      </w:pPr>
      <w:r>
        <w:rPr>
          <w:sz w:val="22"/>
        </w:rPr>
        <w:t>Network Examples</w:t>
      </w:r>
    </w:p>
    <w:p>
      <w:pPr>
        <w:pStyle w:val="Normal"/>
        <w:numPr>
          <w:ilvl w:val="0"/>
          <w:numId w:val="2"/>
        </w:numPr>
        <w:rPr>
          <w:sz w:val="22"/>
        </w:rPr>
      </w:pPr>
      <w:r>
        <w:rPr>
          <w:sz w:val="22"/>
        </w:rPr>
        <w:t>Settlement Examples</w:t>
      </w:r>
    </w:p>
    <w:p>
      <w:pPr>
        <w:pStyle w:val="Normal"/>
        <w:rPr>
          <w:sz w:val="22"/>
        </w:rPr>
      </w:pPr>
      <w:r>
        <w:rPr>
          <w:sz w:val="22"/>
        </w:rPr>
        <w:t>12:30</w:t>
        <w:tab/>
        <w:t>Working Lunch – assorted sandwiches, chips, and soft drinks</w:t>
      </w:r>
    </w:p>
    <w:p>
      <w:pPr>
        <w:pStyle w:val="Normal"/>
        <w:rPr>
          <w:sz w:val="22"/>
        </w:rPr>
      </w:pPr>
      <w:r>
        <w:rPr>
          <w:sz w:val="22"/>
        </w:rPr>
        <w:t>12:45</w:t>
        <w:tab/>
        <w:t>APX procedures for submitting adjustment bids</w:t>
      </w:r>
    </w:p>
    <w:p>
      <w:pPr>
        <w:pStyle w:val="Normal"/>
        <w:numPr>
          <w:ilvl w:val="0"/>
          <w:numId w:val="2"/>
        </w:numPr>
        <w:rPr>
          <w:sz w:val="22"/>
        </w:rPr>
      </w:pPr>
      <w:r>
        <w:rPr>
          <w:sz w:val="22"/>
        </w:rPr>
        <w:t>Market Window procedures</w:t>
      </w:r>
    </w:p>
    <w:p>
      <w:pPr>
        <w:pStyle w:val="Normal"/>
        <w:numPr>
          <w:ilvl w:val="0"/>
          <w:numId w:val="2"/>
        </w:numPr>
        <w:rPr>
          <w:sz w:val="22"/>
        </w:rPr>
      </w:pPr>
      <w:r>
        <w:rPr>
          <w:sz w:val="22"/>
        </w:rPr>
        <w:t>API methods</w:t>
      </w:r>
    </w:p>
    <w:p>
      <w:pPr>
        <w:pStyle w:val="Normal"/>
        <w:numPr>
          <w:ilvl w:val="0"/>
          <w:numId w:val="2"/>
        </w:numPr>
        <w:rPr>
          <w:sz w:val="22"/>
        </w:rPr>
      </w:pPr>
      <w:r>
        <w:rPr>
          <w:sz w:val="22"/>
        </w:rPr>
        <w:t>How CAISO templates are sent</w:t>
      </w:r>
    </w:p>
    <w:p>
      <w:pPr>
        <w:pStyle w:val="Normal"/>
        <w:numPr>
          <w:ilvl w:val="0"/>
          <w:numId w:val="2"/>
        </w:numPr>
        <w:rPr>
          <w:sz w:val="22"/>
        </w:rPr>
      </w:pPr>
      <w:r>
        <w:rPr>
          <w:sz w:val="22"/>
        </w:rPr>
        <w:t>How SC transfers are coordinated</w:t>
      </w:r>
    </w:p>
    <w:p>
      <w:pPr>
        <w:pStyle w:val="Normal"/>
        <w:rPr>
          <w:sz w:val="22"/>
        </w:rPr>
      </w:pPr>
      <w:r>
        <w:rPr>
          <w:sz w:val="22"/>
        </w:rPr>
        <w:t>1:15</w:t>
        <w:tab/>
        <w:t xml:space="preserve"> Break</w:t>
      </w:r>
    </w:p>
    <w:p>
      <w:pPr>
        <w:pStyle w:val="Normal"/>
        <w:rPr>
          <w:sz w:val="22"/>
        </w:rPr>
      </w:pPr>
      <w:r>
        <w:rPr>
          <w:sz w:val="22"/>
        </w:rPr>
        <w:t>1:30</w:t>
        <w:tab/>
        <w:t>Alternative Market Proposal – forward energy settlement of contracted bilateral positions bid bid/ask adjustment bids with the CAISO.</w:t>
      </w:r>
    </w:p>
    <w:p>
      <w:pPr>
        <w:pStyle w:val="Normal"/>
        <w:numPr>
          <w:ilvl w:val="0"/>
          <w:numId w:val="2"/>
        </w:numPr>
        <w:rPr>
          <w:sz w:val="22"/>
        </w:rPr>
      </w:pPr>
      <w:r>
        <w:rPr>
          <w:sz w:val="22"/>
        </w:rPr>
        <w:t>Network Examples</w:t>
      </w:r>
    </w:p>
    <w:p>
      <w:pPr>
        <w:pStyle w:val="Normal"/>
        <w:numPr>
          <w:ilvl w:val="0"/>
          <w:numId w:val="2"/>
        </w:numPr>
        <w:rPr>
          <w:sz w:val="22"/>
        </w:rPr>
      </w:pPr>
      <w:r>
        <w:rPr>
          <w:sz w:val="22"/>
        </w:rPr>
        <w:t>Settlement Examples</w:t>
      </w:r>
    </w:p>
    <w:p>
      <w:pPr>
        <w:pStyle w:val="Normal"/>
        <w:rPr>
          <w:sz w:val="22"/>
        </w:rPr>
      </w:pPr>
      <w:r>
        <w:rPr>
          <w:sz w:val="22"/>
        </w:rPr>
        <w:t xml:space="preserve">2:15 </w:t>
        <w:tab/>
        <w:t>CAISO Integration Issues – the proposed approach requires no software changes by the CAISO</w:t>
      </w:r>
    </w:p>
    <w:p>
      <w:pPr>
        <w:pStyle w:val="Normal"/>
        <w:rPr>
          <w:sz w:val="22"/>
        </w:rPr>
      </w:pPr>
      <w:r>
        <w:rPr>
          <w:sz w:val="22"/>
        </w:rPr>
        <w:t>2:45</w:t>
        <w:tab/>
        <w:t xml:space="preserve">Discussion of Business Proposition – input from market participants, the business proposition for creating a liquid market to handle congestion. </w:t>
      </w:r>
    </w:p>
    <w:p>
      <w:pPr>
        <w:pStyle w:val="Normal"/>
        <w:rPr>
          <w:sz w:val="22"/>
        </w:rPr>
      </w:pPr>
      <w:r>
        <w:rPr>
          <w:sz w:val="22"/>
        </w:rPr>
        <w:t>4:15</w:t>
        <w:tab/>
        <w:t>Next Steps</w:t>
      </w:r>
    </w:p>
    <w:p>
      <w:pPr>
        <w:pStyle w:val="Normal"/>
        <w:rPr>
          <w:sz w:val="22"/>
        </w:rPr>
      </w:pPr>
      <w:r>
        <w:rPr>
          <w:sz w:val="22"/>
        </w:rPr>
        <w:tab/>
        <w:t>Selection of an approach</w:t>
      </w:r>
    </w:p>
    <w:p>
      <w:pPr>
        <w:pStyle w:val="Normal"/>
        <w:rPr>
          <w:sz w:val="22"/>
        </w:rPr>
      </w:pPr>
      <w:r>
        <w:rPr>
          <w:sz w:val="22"/>
        </w:rPr>
        <w:tab/>
        <w:t>Unresolved issues for follow on meeting, February 28</w:t>
      </w:r>
      <w:r>
        <w:rPr>
          <w:sz w:val="22"/>
          <w:vertAlign w:val="superscript"/>
        </w:rPr>
        <w:t>th</w:t>
      </w:r>
    </w:p>
    <w:p>
      <w:pPr>
        <w:pStyle w:val="Normal"/>
        <w:rPr>
          <w:sz w:val="22"/>
        </w:rPr>
      </w:pPr>
      <w:r>
        <w:rPr>
          <w:sz w:val="22"/>
        </w:rPr>
        <w:t>4:45</w:t>
        <w:tab/>
        <w:t>Adjournment and thanks, John Stremel, Vice President, Automated Power Exchange</w:t>
      </w:r>
    </w:p>
    <w:p>
      <w:pPr>
        <w:pStyle w:val="Normal"/>
        <w:rPr>
          <w:sz w:val="22"/>
        </w:rPr>
      </w:pPr>
      <w:r>
        <w:rPr>
          <w:sz w:val="22"/>
        </w:rPr>
      </w:r>
    </w:p>
    <w:p>
      <w:pPr>
        <w:pStyle w:val="Normal"/>
        <w:rPr>
          <w:sz w:val="22"/>
        </w:rPr>
      </w:pPr>
      <w:r>
        <w:rPr>
          <w:sz w:val="22"/>
        </w:rPr>
      </w:r>
    </w:p>
    <w:p>
      <w:pPr>
        <w:pStyle w:val="Normal"/>
        <w:rPr>
          <w:sz w:val="22"/>
        </w:rPr>
      </w:pPr>
      <w:r>
        <w:rPr>
          <w:sz w:val="22"/>
        </w:rPr>
        <w:t xml:space="preserve">It is our intention to post the presentation material for your review Monday morning, two days before the meeting.  The content will be technical.  There is no way we can go through all the examples and cases in this amount of time.  It is our intention to give you a range of cases, to go through several examples to assure we all understand, then to move on to the business topics. </w:t>
      </w:r>
    </w:p>
    <w:p>
      <w:pPr>
        <w:pStyle w:val="Normal"/>
        <w:rPr>
          <w:sz w:val="22"/>
        </w:rPr>
      </w:pPr>
      <w:r>
        <w:rPr>
          <w:sz w:val="22"/>
        </w:rPr>
      </w:r>
    </w:p>
    <w:p>
      <w:pPr>
        <w:pStyle w:val="Normal"/>
        <w:rPr/>
      </w:pPr>
      <w:r>
        <w:rPr>
          <w:b/>
          <w:sz w:val="28"/>
        </w:rPr>
        <w:t>Please:</w:t>
      </w:r>
      <w:r>
        <w:rPr>
          <w:sz w:val="22"/>
        </w:rPr>
        <w:t xml:space="preserve">  Respond with your name, phone number and e-mail address to my Administrative Assistant, Jacqlynn Wu, </w:t>
      </w:r>
      <w:hyperlink r:id="rId4">
        <w:r>
          <w:rPr>
            <w:rStyle w:val="Hyperlink"/>
          </w:rPr>
          <w:t>jwu@apx.com</w:t>
        </w:r>
      </w:hyperlink>
      <w:r>
        <w:rPr>
          <w:sz w:val="22"/>
        </w:rPr>
        <w:t>.  Jacqlynn (408-5-7-2161) will inform you when documents are posted and can help with directions and hotel arrangements should you need them.  APX is about 10 minutes by car from the San Jose airport.</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mic Sans MS">
    <w:charset w:val="00" w:characterSet="windows-1252"/>
    <w:family w:val="script"/>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08"/>
      <w:numFmt w:val="bullet"/>
      <w:lvlText w:val="-"/>
      <w:lvlJc w:val="start"/>
      <w:pPr>
        <w:tabs>
          <w:tab w:val="num" w:pos="1800"/>
        </w:tabs>
        <w:ind w:start="1800" w:hanging="360"/>
      </w:pPr>
      <w:rPr>
        <w:rFonts w:ascii="Liberation Serif" w:hAnsi="Liberation Serif" w:cs="Liberation Serif" w:hint="default"/>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Comic Sans MS" w:hAnsi="Comic Sans MS" w:cs="Comic Sans MS"/>
      <w:sz w:val="32"/>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2"/>
    </w:rPr>
  </w:style>
  <w:style w:type="paragraph" w:styleId="Heading4">
    <w:name w:val="heading 4"/>
    <w:basedOn w:val="Normal"/>
    <w:next w:val="Normal"/>
    <w:qFormat/>
    <w:pPr>
      <w:keepNext w:val="true"/>
      <w:numPr>
        <w:ilvl w:val="3"/>
        <w:numId w:val="1"/>
      </w:numPr>
      <w:outlineLvl w:val="3"/>
    </w:pPr>
    <w:rPr>
      <w:sz w:val="24"/>
      <w:u w:val="single"/>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hyperlink" Target="mailto:jwu@apx.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2001-02-10T15:59:00Z</dcterms:created>
  <dc:creator>btardio</dc:creator>
  <dc:description/>
  <dc:language>en-CA</dc:language>
  <cp:lastModifiedBy>John Stremel</cp:lastModifiedBy>
  <cp:lastPrinted>2001-02-10T11:29:00Z</cp:lastPrinted>
  <dcterms:modified xsi:type="dcterms:W3CDTF">2001-02-10T16:59:00Z</dcterms:modified>
  <cp:revision>9</cp:revision>
  <dc:subject/>
  <dc:title> </dc:title>
</cp:coreProperties>
</file>