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OUTLINE OF COMMENTS ON HOUSE RTO DISCUSSION DRAFT (10/9/01)</w:t>
      </w:r>
    </w:p>
    <w:p>
      <w:pPr>
        <w:pStyle w:val="Normal"/>
        <w:jc w:val="center"/>
        <w:rPr>
          <w:sz w:val="26"/>
        </w:rPr>
      </w:pPr>
      <w:r>
        <w:rPr>
          <w:sz w:val="26"/>
        </w:rPr>
      </w:r>
    </w:p>
    <w:p>
      <w:pPr>
        <w:pStyle w:val="Normal"/>
        <w:jc w:val="center"/>
        <w:rPr>
          <w:sz w:val="26"/>
        </w:rPr>
      </w:pPr>
      <w:r>
        <w:rPr>
          <w:sz w:val="26"/>
        </w:rPr>
        <w:t>(Draft as of October 22, 2001)</w:t>
      </w:r>
    </w:p>
    <w:p>
      <w:pPr>
        <w:pStyle w:val="Normal"/>
        <w:jc w:val="center"/>
        <w:rPr>
          <w:sz w:val="26"/>
        </w:rPr>
      </w:pPr>
      <w:r>
        <w:rPr>
          <w:sz w:val="26"/>
        </w:rPr>
      </w:r>
    </w:p>
    <w:p>
      <w:pPr>
        <w:pStyle w:val="Normal"/>
        <w:numPr>
          <w:ilvl w:val="0"/>
          <w:numId w:val="1"/>
        </w:numPr>
        <w:jc w:val="both"/>
        <w:rPr>
          <w:sz w:val="26"/>
        </w:rPr>
      </w:pPr>
      <w:r>
        <w:rPr>
          <w:sz w:val="26"/>
        </w:rPr>
        <w:t>On the positive side, the discussion draft requires all transmitting utilities to become part of a regional transmission organization (RTO) to create a more open grid, including electric cooperatives, municipal utilities and federal power marketing agencies.</w:t>
      </w:r>
    </w:p>
    <w:p>
      <w:pPr>
        <w:pStyle w:val="Normal"/>
        <w:jc w:val="both"/>
        <w:rPr>
          <w:sz w:val="26"/>
        </w:rPr>
      </w:pPr>
      <w:r>
        <w:rPr>
          <w:sz w:val="26"/>
        </w:rPr>
      </w:r>
    </w:p>
    <w:p>
      <w:pPr>
        <w:pStyle w:val="BodyTextIndent"/>
        <w:rPr/>
      </w:pPr>
      <w:r>
        <w:rPr/>
        <w:t>[Technical notes: (1) the legislative language fails to include TVA, which appears to be an oversight; (2) the transmission pricing section elsewhere in the discussion draft refers to voluntary, not mandatory, RTOs; and (3) the mandate that utilities join an operational RTO within 18 months is undercut by new procedural hurdles and the requirement that the FERC proceeding is stayed pending appeal under a standard of judicial review that favors a challenging transmission-owning utility.]</w:t>
      </w:r>
    </w:p>
    <w:p>
      <w:pPr>
        <w:pStyle w:val="Normal"/>
        <w:jc w:val="both"/>
        <w:rPr>
          <w:sz w:val="26"/>
        </w:rPr>
      </w:pPr>
      <w:r>
        <w:rPr>
          <w:sz w:val="26"/>
        </w:rPr>
      </w:r>
    </w:p>
    <w:p>
      <w:pPr>
        <w:pStyle w:val="Normal"/>
        <w:numPr>
          <w:ilvl w:val="0"/>
          <w:numId w:val="1"/>
        </w:numPr>
        <w:jc w:val="both"/>
        <w:rPr>
          <w:sz w:val="26"/>
        </w:rPr>
      </w:pPr>
      <w:r>
        <w:rPr>
          <w:sz w:val="26"/>
        </w:rPr>
        <w:t>Also on the positive side, the discussion draft requires all forms of transmission service to be offered under “open access” transmission tariffs so that transmission services are not unduly discriminatory or preferential, thus increasing competition.</w:t>
      </w:r>
    </w:p>
    <w:p>
      <w:pPr>
        <w:pStyle w:val="Normal"/>
        <w:jc w:val="both"/>
        <w:rPr>
          <w:sz w:val="26"/>
        </w:rPr>
      </w:pPr>
      <w:r>
        <w:rPr>
          <w:sz w:val="26"/>
        </w:rPr>
      </w:r>
    </w:p>
    <w:p>
      <w:pPr>
        <w:pStyle w:val="Normal"/>
        <w:numPr>
          <w:ilvl w:val="0"/>
          <w:numId w:val="1"/>
        </w:numPr>
        <w:jc w:val="both"/>
        <w:rPr>
          <w:sz w:val="26"/>
        </w:rPr>
      </w:pPr>
      <w:r>
        <w:rPr>
          <w:sz w:val="26"/>
        </w:rPr>
        <w:t>Unfortunately, other provisions outweigh the positive aspects of the discussion draft.  Specifically, the draft would make it harder for FERC to promptly complete the on-going transition to “right sized” RTOs that conform to natural power markets based on how power actually flows.  This fundamental flaw will keep consumers from obtaining the full benefits of robust competition in wholesale power markets that RTOs are designed to achieve.</w:t>
      </w:r>
    </w:p>
    <w:p>
      <w:pPr>
        <w:pStyle w:val="Normal"/>
        <w:jc w:val="both"/>
        <w:rPr>
          <w:sz w:val="26"/>
        </w:rPr>
      </w:pPr>
      <w:r>
        <w:rPr>
          <w:sz w:val="26"/>
        </w:rPr>
      </w:r>
    </w:p>
    <w:p>
      <w:pPr>
        <w:pStyle w:val="Normal"/>
        <w:numPr>
          <w:ilvl w:val="0"/>
          <w:numId w:val="1"/>
        </w:numPr>
        <w:jc w:val="both"/>
        <w:rPr>
          <w:sz w:val="26"/>
        </w:rPr>
      </w:pPr>
      <w:r>
        <w:rPr>
          <w:sz w:val="26"/>
        </w:rPr>
        <w:t>The discussion draft fails to adequately reflect why RTOs are necessary and the nature of the on-going RTO process at FERC.</w:t>
      </w:r>
    </w:p>
    <w:p>
      <w:pPr>
        <w:pStyle w:val="Normal"/>
        <w:jc w:val="both"/>
        <w:rPr>
          <w:sz w:val="26"/>
        </w:rPr>
      </w:pPr>
      <w:r>
        <w:rPr>
          <w:sz w:val="26"/>
        </w:rPr>
      </w:r>
    </w:p>
    <w:p>
      <w:pPr>
        <w:pStyle w:val="Normal"/>
        <w:numPr>
          <w:ilvl w:val="1"/>
          <w:numId w:val="1"/>
        </w:numPr>
        <w:jc w:val="both"/>
        <w:rPr>
          <w:sz w:val="26"/>
        </w:rPr>
      </w:pPr>
      <w:r>
        <w:rPr>
          <w:sz w:val="26"/>
        </w:rPr>
        <w:t>“</w:t>
      </w:r>
      <w:r>
        <w:rPr>
          <w:sz w:val="26"/>
        </w:rPr>
        <w:t xml:space="preserve">Right-sized” RTOs are the remedy for the </w:t>
      </w:r>
      <w:r>
        <w:rPr>
          <w:sz w:val="26"/>
          <w:u w:val="single"/>
        </w:rPr>
        <w:t>systemic</w:t>
      </w:r>
      <w:r>
        <w:rPr>
          <w:sz w:val="26"/>
        </w:rPr>
        <w:t xml:space="preserve"> discrimination that FERC found exists when the same vertically-integrated utility owns both power generation and transmission assets that can be operated in a manner to benefit the utility’s own generation at the expense of generation owned by competitors.  The U.S. Court of Appeals has upheld this systemic approach to FERC’s duty under the Federal Power Act to remedy undue discrimination.</w:t>
      </w:r>
    </w:p>
    <w:p>
      <w:pPr>
        <w:pStyle w:val="Normal"/>
        <w:ind w:start="720" w:end="0"/>
        <w:jc w:val="both"/>
        <w:rPr>
          <w:sz w:val="26"/>
        </w:rPr>
      </w:pPr>
      <w:r>
        <w:rPr>
          <w:sz w:val="26"/>
        </w:rPr>
      </w:r>
    </w:p>
    <w:p>
      <w:pPr>
        <w:pStyle w:val="Normal"/>
        <w:numPr>
          <w:ilvl w:val="1"/>
          <w:numId w:val="1"/>
        </w:numPr>
        <w:jc w:val="both"/>
        <w:rPr>
          <w:sz w:val="26"/>
        </w:rPr>
      </w:pPr>
      <w:r>
        <w:rPr>
          <w:sz w:val="26"/>
        </w:rPr>
        <w:t>By contrast, the discussion draft would set up a new process at FERC on the formation of RTOs – years after the existing process has already been well underway – that provides individual vertically-integrated utilities with new procedural devices to prevent FERC from remedying systemic discrimination (e.g., individual evidentiary hearings and court reviews at the option of dozens of transmission-owning utilities).</w:t>
      </w:r>
    </w:p>
    <w:p>
      <w:pPr>
        <w:pStyle w:val="Normal"/>
        <w:jc w:val="both"/>
        <w:rPr>
          <w:sz w:val="26"/>
        </w:rPr>
      </w:pPr>
      <w:r>
        <w:rPr>
          <w:sz w:val="26"/>
        </w:rPr>
      </w:r>
    </w:p>
    <w:p>
      <w:pPr>
        <w:pStyle w:val="Normal"/>
        <w:numPr>
          <w:ilvl w:val="0"/>
          <w:numId w:val="2"/>
        </w:numPr>
        <w:jc w:val="both"/>
        <w:rPr>
          <w:sz w:val="26"/>
        </w:rPr>
      </w:pPr>
      <w:r>
        <w:rPr>
          <w:sz w:val="26"/>
        </w:rPr>
        <w:t>The discussion draft would replace a flexible process administered by an independent regulatory agency under the Federal Power Act with a rigid statutory scheme that is potentially rigged in favor of those least likely to join the “right-sized” RTOs needed to remedy systemic discrimination.</w:t>
      </w:r>
    </w:p>
    <w:p>
      <w:pPr>
        <w:pStyle w:val="Normal"/>
        <w:jc w:val="both"/>
        <w:rPr>
          <w:sz w:val="26"/>
        </w:rPr>
      </w:pPr>
      <w:r>
        <w:rPr>
          <w:sz w:val="26"/>
        </w:rPr>
      </w:r>
    </w:p>
    <w:p>
      <w:pPr>
        <w:pStyle w:val="Normal"/>
        <w:numPr>
          <w:ilvl w:val="1"/>
          <w:numId w:val="2"/>
        </w:numPr>
        <w:jc w:val="both"/>
        <w:rPr>
          <w:sz w:val="26"/>
        </w:rPr>
      </w:pPr>
      <w:r>
        <w:rPr>
          <w:sz w:val="26"/>
        </w:rPr>
        <w:t>Pursuant to the Federal Power Act, FERC has been working on open access transmission policies (the stared goal of the discussion draft) since the start of the regulatory processes that resulted in Order No. 888 in 1996 and Order No. 2000 in 2000.  Far from rushing to judgment, FERC has carefully considered these issues for many years, including providing every opportunity for “right-sized” RTOs to be formed voluntarily.</w:t>
      </w:r>
    </w:p>
    <w:p>
      <w:pPr>
        <w:pStyle w:val="Normal"/>
        <w:ind w:start="720" w:end="0"/>
        <w:jc w:val="both"/>
        <w:rPr>
          <w:sz w:val="26"/>
        </w:rPr>
      </w:pPr>
      <w:r>
        <w:rPr>
          <w:sz w:val="26"/>
        </w:rPr>
      </w:r>
    </w:p>
    <w:p>
      <w:pPr>
        <w:pStyle w:val="Normal"/>
        <w:numPr>
          <w:ilvl w:val="1"/>
          <w:numId w:val="2"/>
        </w:numPr>
        <w:jc w:val="both"/>
        <w:rPr>
          <w:sz w:val="26"/>
        </w:rPr>
      </w:pPr>
      <w:r>
        <w:rPr>
          <w:sz w:val="26"/>
        </w:rPr>
        <w:t>FERC’s stated “preference” for four RTOs in July 2000 (one in the West and three in the East outside of Texas), while eminently reasonable, desirable and supportable, is not set in stone, as the recent public statements of FERC commissioners attest.</w:t>
      </w:r>
    </w:p>
    <w:p>
      <w:pPr>
        <w:pStyle w:val="Normal"/>
        <w:jc w:val="both"/>
        <w:rPr>
          <w:sz w:val="26"/>
        </w:rPr>
      </w:pPr>
      <w:r>
        <w:rPr>
          <w:sz w:val="26"/>
        </w:rPr>
      </w:r>
    </w:p>
    <w:p>
      <w:pPr>
        <w:pStyle w:val="Normal"/>
        <w:numPr>
          <w:ilvl w:val="1"/>
          <w:numId w:val="2"/>
        </w:numPr>
        <w:jc w:val="both"/>
        <w:rPr>
          <w:sz w:val="26"/>
        </w:rPr>
      </w:pPr>
      <w:r>
        <w:rPr>
          <w:sz w:val="26"/>
        </w:rPr>
        <w:t>FERC’s recent discussion of additional carrots and sticks to speed up the transition to “right-sized” RTOs occurred only after the commission ordered two 45-day mediation proceedings (one for the Northeast and one for the Southeast).  Any regulatory “sticks,” such as linking market-based rate authority and merger reviews to RTO formation, will be implemented only after applicable administrative procedures are followed.</w:t>
      </w:r>
    </w:p>
    <w:p>
      <w:pPr>
        <w:pStyle w:val="Normal"/>
        <w:jc w:val="both"/>
        <w:rPr>
          <w:sz w:val="26"/>
        </w:rPr>
      </w:pPr>
      <w:r>
        <w:rPr>
          <w:sz w:val="26"/>
        </w:rPr>
      </w:r>
    </w:p>
    <w:p>
      <w:pPr>
        <w:pStyle w:val="Normal"/>
        <w:numPr>
          <w:ilvl w:val="1"/>
          <w:numId w:val="2"/>
        </w:numPr>
        <w:jc w:val="both"/>
        <w:rPr>
          <w:sz w:val="26"/>
        </w:rPr>
      </w:pPr>
      <w:r>
        <w:rPr>
          <w:sz w:val="26"/>
        </w:rPr>
        <w:t>FERC’s interest in public comments and input on RTOs, including from state regulators, is evidenced by the “RTO Week” that FERC held the week of October 15, 2001 to conduct day-long discussions with dozens of panelists with varied views on RTO issues.</w:t>
      </w:r>
    </w:p>
    <w:p>
      <w:pPr>
        <w:pStyle w:val="Normal"/>
        <w:jc w:val="both"/>
        <w:rPr>
          <w:sz w:val="26"/>
        </w:rPr>
      </w:pPr>
      <w:r>
        <w:rPr>
          <w:sz w:val="26"/>
        </w:rPr>
      </w:r>
    </w:p>
    <w:p>
      <w:pPr>
        <w:pStyle w:val="Normal"/>
        <w:numPr>
          <w:ilvl w:val="1"/>
          <w:numId w:val="2"/>
        </w:numPr>
        <w:jc w:val="both"/>
        <w:rPr>
          <w:sz w:val="26"/>
        </w:rPr>
      </w:pPr>
      <w:r>
        <w:rPr>
          <w:sz w:val="26"/>
        </w:rPr>
        <w:t>The geographic scope of an RTO is critical because the benefits of competition will not flow to consumers if each RTO does not cover the “natural market” for power within a given region.  It simply does no good to substitute one Balkanized transmission regime with another that may be less Balkanized but still falls far short of the truly interstate grid the nation needs.</w:t>
      </w:r>
    </w:p>
    <w:p>
      <w:pPr>
        <w:pStyle w:val="Normal"/>
        <w:jc w:val="both"/>
        <w:rPr>
          <w:sz w:val="26"/>
        </w:rPr>
      </w:pPr>
      <w:r>
        <w:rPr>
          <w:sz w:val="26"/>
        </w:rPr>
      </w:r>
    </w:p>
    <w:p>
      <w:pPr>
        <w:pStyle w:val="Normal"/>
        <w:numPr>
          <w:ilvl w:val="1"/>
          <w:numId w:val="2"/>
        </w:numPr>
        <w:jc w:val="both"/>
        <w:rPr>
          <w:sz w:val="26"/>
        </w:rPr>
      </w:pPr>
      <w:r>
        <w:rPr>
          <w:sz w:val="26"/>
        </w:rPr>
        <w:t xml:space="preserve">Regrettably, the discussion draft would take decisions about the geographic scope and configuration of RTOs out of the hands of independent regulators and instead impose a rigid statutory definition.  This would be compounded by a permanent statutory prohibition on FERC’s ability to make further refinements to an RTO or require mergers of RTOs, despite circumstances in the nation’s wholesale power markets that would necessitate such actions.  </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Symbol" w:hAnsi="Symbol" w:cs="Symbol"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Symbol" w:hAnsi="Symbol" w:cs="Symbol"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5">
    <w:name w:val="WW8Num1z5"/>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5">
    <w:name w:val="WW8Num3z5"/>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bCs/>
      <w:sz w:val="26"/>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i/>
      <w:iCs/>
      <w:sz w:val="2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2001-10-22T15:30:00Z</dcterms:created>
  <dc:creator>JSHELK</dc:creator>
  <dc:description/>
  <dc:language>en-CA</dc:language>
  <cp:lastModifiedBy>JSHELK</cp:lastModifiedBy>
  <cp:lastPrinted>2001-10-23T13:30:00Z</cp:lastPrinted>
  <dcterms:modified xsi:type="dcterms:W3CDTF">2001-10-23T15:17:00Z</dcterms:modified>
  <cp:revision>6</cp:revision>
  <dc:subject/>
  <dc:title>OUTLINE OF COMMENTS ON HOUSE RTO DISCUSSION DRAFT (10/9/01)</dc:title>
</cp:coreProperties>
</file>