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pPr>
      <w:r>
        <w:rPr>
          <w:rStyle w:val="Emphasis"/>
        </w:rPr>
        <w:t xml:space="preserve">  </w:t>
      </w:r>
      <w:r>
        <w:rPr>
          <w:rStyle w:val="Emphasis"/>
        </w:rPr>
        <w:t>SEC. 8.  Section 365.2 is added to the Public Utilities Code, to</w:t>
      </w:r>
    </w:p>
    <w:p>
      <w:pPr>
        <w:pStyle w:val="Normal"/>
        <w:ind w:start="720" w:end="0"/>
        <w:rPr/>
      </w:pPr>
      <w:r>
        <w:rPr>
          <w:rStyle w:val="Emphasis"/>
        </w:rPr>
        <w:t>read:</w:t>
      </w:r>
    </w:p>
    <w:p>
      <w:pPr>
        <w:pStyle w:val="Normal"/>
        <w:ind w:start="720" w:end="0"/>
        <w:rPr/>
      </w:pPr>
      <w:r>
        <w:rPr>
          <w:rStyle w:val="Emphasis"/>
        </w:rPr>
        <w:t xml:space="preserve">   </w:t>
      </w:r>
      <w:r>
        <w:rPr>
          <w:rStyle w:val="Emphasis"/>
        </w:rPr>
        <w:t>365.2.  (a) It is the intent of the Legislature in authorizing a resumption</w:t>
      </w:r>
    </w:p>
    <w:p>
      <w:pPr>
        <w:pStyle w:val="Normal"/>
        <w:ind w:start="720" w:end="0"/>
        <w:rPr/>
      </w:pPr>
      <w:r>
        <w:rPr>
          <w:rStyle w:val="Emphasis"/>
        </w:rPr>
        <w:t xml:space="preserve">of direct transactions to the extent permitted by this section to ensure that adequate exit fees are put in place to prevent any adverse cost impacts on </w:t>
      </w:r>
    </w:p>
    <w:p>
      <w:pPr>
        <w:pStyle w:val="Normal"/>
        <w:ind w:start="720" w:end="0"/>
        <w:rPr/>
      </w:pPr>
      <w:r>
        <w:rPr>
          <w:rStyle w:val="Emphasis"/>
        </w:rPr>
        <w:t>utility bundled service customers.</w:t>
      </w:r>
    </w:p>
    <w:p>
      <w:pPr>
        <w:pStyle w:val="Normal"/>
        <w:ind w:start="720" w:end="0"/>
        <w:rPr/>
      </w:pPr>
      <w:r>
        <w:rPr>
          <w:rStyle w:val="Emphasis"/>
        </w:rPr>
        <w:t xml:space="preserve">   </w:t>
      </w:r>
      <w:r>
        <w:rPr>
          <w:rStyle w:val="Emphasis"/>
        </w:rPr>
        <w:t>(b) The ability of retail end-use customers to enter into new or replacement contracts for direct transactions shall be suspended as of July 1, 2001, and the</w:t>
      </w:r>
    </w:p>
    <w:p>
      <w:pPr>
        <w:pStyle w:val="Normal"/>
        <w:ind w:start="720" w:end="0"/>
        <w:rPr/>
      </w:pPr>
      <w:r>
        <w:rPr>
          <w:rStyle w:val="Emphasis"/>
        </w:rPr>
        <w:t>commission may not authorize any new or replacement direct</w:t>
      </w:r>
    </w:p>
    <w:p>
      <w:pPr>
        <w:pStyle w:val="Normal"/>
        <w:ind w:start="720" w:end="0"/>
        <w:rPr/>
      </w:pPr>
      <w:r>
        <w:rPr>
          <w:rStyle w:val="Emphasis"/>
        </w:rPr>
        <w:t>transactions for retail end-use customers until January 1, 2003, and</w:t>
      </w:r>
    </w:p>
    <w:p>
      <w:pPr>
        <w:pStyle w:val="Normal"/>
        <w:ind w:start="720" w:end="0"/>
        <w:rPr/>
      </w:pPr>
      <w:r>
        <w:rPr>
          <w:rStyle w:val="Emphasis"/>
        </w:rPr>
        <w:t>then only pursuant to this section.</w:t>
      </w:r>
    </w:p>
    <w:p>
      <w:pPr>
        <w:pStyle w:val="Normal"/>
        <w:ind w:start="720" w:end="0"/>
        <w:rPr/>
      </w:pPr>
      <w:r>
        <w:rPr>
          <w:rStyle w:val="Emphasis"/>
        </w:rPr>
        <w:t xml:space="preserve">   </w:t>
      </w:r>
      <w:r>
        <w:rPr>
          <w:rStyle w:val="Emphasis"/>
        </w:rPr>
        <w:t>(c) Commencing January 1, 2003, any retail end-use customer</w:t>
      </w:r>
    </w:p>
    <w:p>
      <w:pPr>
        <w:pStyle w:val="Normal"/>
        <w:ind w:start="720" w:end="0"/>
        <w:rPr/>
      </w:pPr>
      <w:r>
        <w:rPr>
          <w:rStyle w:val="Emphasis"/>
        </w:rPr>
        <w:t>purchasing power from an electrical corporation may elect to purchase</w:t>
      </w:r>
    </w:p>
    <w:p>
      <w:pPr>
        <w:pStyle w:val="Normal"/>
        <w:ind w:start="720" w:end="0"/>
        <w:rPr/>
      </w:pPr>
      <w:r>
        <w:rPr>
          <w:rStyle w:val="Emphasis"/>
        </w:rPr>
        <w:t>power via a direct transaction upon payment of the fees described in subdivision (d) and subdivision (e).</w:t>
      </w:r>
    </w:p>
    <w:p>
      <w:pPr>
        <w:pStyle w:val="Normal"/>
        <w:ind w:start="720" w:end="0"/>
        <w:rPr/>
      </w:pPr>
      <w:r>
        <w:rPr>
          <w:rStyle w:val="Emphasis"/>
        </w:rPr>
        <w:t xml:space="preserve">   </w:t>
      </w:r>
      <w:r>
        <w:rPr>
          <w:rStyle w:val="Emphasis"/>
        </w:rPr>
        <w:t>(d) Any retail end-use customer electing to purchase power via a direct transaction pursuant to subdivision (c) shall pay a nonbypassable exit fee equal to the excess, if any, of the customer's proportionate share of total actual procurement costs, including financing costs</w:t>
      </w:r>
    </w:p>
    <w:p>
      <w:pPr>
        <w:pStyle w:val="Normal"/>
        <w:ind w:start="720" w:end="0"/>
        <w:rPr/>
      </w:pPr>
      <w:r>
        <w:rPr>
          <w:rStyle w:val="Emphasis"/>
        </w:rPr>
        <w:t>and proportionate share of administrative costs associated with this</w:t>
      </w:r>
    </w:p>
    <w:p>
      <w:pPr>
        <w:pStyle w:val="Normal"/>
        <w:ind w:start="720" w:end="0"/>
        <w:rPr/>
      </w:pPr>
      <w:r>
        <w:rPr>
          <w:rStyle w:val="Emphasis"/>
        </w:rPr>
        <w:t>section, incurred by the Department of Water Resources during the</w:t>
      </w:r>
    </w:p>
    <w:p>
      <w:pPr>
        <w:pStyle w:val="Normal"/>
        <w:ind w:start="720" w:end="0"/>
        <w:rPr/>
      </w:pPr>
      <w:r>
        <w:rPr>
          <w:rStyle w:val="Emphasis"/>
        </w:rPr>
        <w:t>period during which the customer purchased power from the Department</w:t>
      </w:r>
    </w:p>
    <w:p>
      <w:pPr>
        <w:pStyle w:val="Normal"/>
        <w:ind w:start="720" w:end="0"/>
        <w:rPr/>
      </w:pPr>
      <w:r>
        <w:rPr>
          <w:rStyle w:val="Emphasis"/>
        </w:rPr>
        <w:t>of Water Resources pursuant to Division 27 (commencing with Section</w:t>
      </w:r>
    </w:p>
    <w:p>
      <w:pPr>
        <w:pStyle w:val="Normal"/>
        <w:ind w:start="720" w:end="0"/>
        <w:rPr/>
      </w:pPr>
      <w:r>
        <w:rPr>
          <w:rStyle w:val="Emphasis"/>
        </w:rPr>
        <w:t>80000) of the Water Code, over the revenues collected by the</w:t>
      </w:r>
    </w:p>
    <w:p>
      <w:pPr>
        <w:pStyle w:val="Normal"/>
        <w:ind w:start="720" w:end="0"/>
        <w:rPr/>
      </w:pPr>
      <w:r>
        <w:rPr>
          <w:rStyle w:val="Emphasis"/>
        </w:rPr>
        <w:t>Department of Water Resources from the customer during that period,</w:t>
      </w:r>
    </w:p>
    <w:p>
      <w:pPr>
        <w:pStyle w:val="Normal"/>
        <w:ind w:start="720" w:end="0"/>
        <w:rPr/>
      </w:pPr>
      <w:r>
        <w:rPr>
          <w:rStyle w:val="Emphasis"/>
        </w:rPr>
        <w:t>as determined by the commission.  This fee may be paid in installments.</w:t>
      </w:r>
    </w:p>
    <w:p>
      <w:pPr>
        <w:pStyle w:val="Normal"/>
        <w:ind w:start="720" w:end="0"/>
        <w:rPr/>
      </w:pPr>
      <w:r>
        <w:rPr>
          <w:rStyle w:val="Emphasis"/>
        </w:rPr>
        <w:t xml:space="preserve">   </w:t>
      </w:r>
      <w:r>
        <w:rPr>
          <w:rStyle w:val="Emphasis"/>
        </w:rPr>
        <w:t>(e) (1) In addition to paying the fee described in subdivision (d), a retail end-use customer electing to purchase power via a direct transaction pursuant to subdivision (c) shall also pay an additional nonbypassable exit fee equal to the customer's proportionate share of the Department of Water Resource's estimated net unavoidable cost of power procurement for the period commencing immediately after the commencement of purchases via the direct transaction and continuing through the expiration of all then existing contracts for power entered into by the Department of Water Resources, as the proportionate share and unavoidable cost are determined by the commission.</w:t>
      </w:r>
    </w:p>
    <w:p>
      <w:pPr>
        <w:pStyle w:val="Normal"/>
        <w:ind w:start="720" w:end="0"/>
        <w:rPr/>
      </w:pPr>
      <w:r>
        <w:rPr>
          <w:rStyle w:val="Emphasis"/>
        </w:rPr>
        <w:t xml:space="preserve">   </w:t>
      </w:r>
      <w:r>
        <w:rPr>
          <w:rStyle w:val="Emphasis"/>
        </w:rPr>
        <w:t>(2) In determining "proportionate share" for purposes of this section, the commission shall treat each DWR contract as having been entered into on behalf of all customers who took utility bundled service at any time during the period from January 17, 2001 to July 1, 2001.  In determining "net unavoidable cost" for purposes of this section, the commission shall estimate the excess, if any, of the average cost of power at minimum purchase levels of the entire portfolio of DWR contracts (not including renewals effectuated at the discretion of the DWR) over the cost of new contracts of similar duration available in the market at the time the assessment is made.</w:t>
      </w:r>
    </w:p>
    <w:p>
      <w:pPr>
        <w:pStyle w:val="Normal"/>
        <w:ind w:firstLine="720" w:end="0"/>
        <w:rPr>
          <w:rStyle w:val="Emphasis"/>
        </w:rPr>
      </w:pPr>
      <w:r>
        <w:rPr/>
      </w:r>
    </w:p>
    <w:p>
      <w:pPr>
        <w:pStyle w:val="Normal"/>
        <w:ind w:firstLine="720" w:end="0"/>
        <w:rPr>
          <w:rStyle w:val="Emphasis"/>
        </w:rPr>
      </w:pPr>
      <w:r>
        <w:rPr/>
      </w:r>
    </w:p>
    <w:p>
      <w:pPr>
        <w:pStyle w:val="Normal"/>
        <w:ind w:start="720" w:end="0"/>
        <w:rPr/>
      </w:pPr>
      <w:r>
        <w:rPr>
          <w:rStyle w:val="Emphasis"/>
        </w:rPr>
        <w:t xml:space="preserve">   </w:t>
      </w:r>
      <w:r>
        <w:rPr>
          <w:rStyle w:val="Emphasis"/>
        </w:rPr>
        <w:t xml:space="preserve">(f) The department shall submit all necessary information on its </w:t>
      </w:r>
    </w:p>
    <w:p>
      <w:pPr>
        <w:pStyle w:val="Normal"/>
        <w:ind w:start="720" w:end="0"/>
        <w:rPr/>
      </w:pPr>
      <w:r>
        <w:rPr>
          <w:rStyle w:val="Emphasis"/>
        </w:rPr>
        <w:t>long term power purchase contracts to the commission in a time frame that</w:t>
      </w:r>
    </w:p>
    <w:p>
      <w:pPr>
        <w:pStyle w:val="Normal"/>
        <w:ind w:start="720" w:end="0"/>
        <w:rPr/>
      </w:pPr>
      <w:r>
        <w:rPr>
          <w:rStyle w:val="Emphasis"/>
        </w:rPr>
        <w:t>allows the commission to meet its obligations under this section.</w:t>
      </w:r>
    </w:p>
    <w:p>
      <w:pPr>
        <w:pStyle w:val="Normal"/>
        <w:ind w:start="720" w:end="0"/>
        <w:rPr>
          <w:rStyle w:val="Emphasis"/>
        </w:rPr>
      </w:pPr>
      <w:r>
        <w:rPr/>
      </w:r>
    </w:p>
    <w:p>
      <w:pPr>
        <w:pStyle w:val="Normal"/>
        <w:ind w:start="720" w:end="0"/>
        <w:rPr/>
      </w:pPr>
      <w:r>
        <w:rPr>
          <w:rStyle w:val="Emphasis"/>
        </w:rPr>
        <w:t xml:space="preserve">   </w:t>
      </w:r>
      <w:r>
        <w:rPr>
          <w:rStyle w:val="Emphasis"/>
        </w:rPr>
        <w:t xml:space="preserve">(g) Nothing in this section relieves customers of the nonbypassable </w:t>
      </w:r>
    </w:p>
    <w:p>
      <w:pPr>
        <w:pStyle w:val="Normal"/>
        <w:ind w:start="720" w:end="0"/>
        <w:rPr/>
      </w:pPr>
      <w:r>
        <w:rPr>
          <w:rStyle w:val="Emphasis"/>
        </w:rPr>
        <w:t>charges for qualified costs provided for in Section 369.</w:t>
      </w:r>
    </w:p>
    <w:p>
      <w:pPr>
        <w:pStyle w:val="Normal"/>
        <w:ind w:start="720" w:end="0"/>
        <w:rPr/>
      </w:pPr>
      <w:r>
        <w:rPr>
          <w:rStyle w:val="Emphasis"/>
        </w:rPr>
        <w:t xml:space="preserve">   </w:t>
      </w:r>
      <w:r>
        <w:rPr>
          <w:rStyle w:val="Emphasis"/>
        </w:rPr>
        <w:t>(h) The commission shall adopt regulations regarding the ability</w:t>
      </w:r>
    </w:p>
    <w:p>
      <w:pPr>
        <w:pStyle w:val="Normal"/>
        <w:ind w:start="720" w:end="0"/>
        <w:rPr/>
      </w:pPr>
      <w:r>
        <w:rPr>
          <w:rStyle w:val="Emphasis"/>
        </w:rPr>
        <w:t>of direct transaction customers to become electrical corporation</w:t>
      </w:r>
    </w:p>
    <w:p>
      <w:pPr>
        <w:pStyle w:val="Normal"/>
        <w:ind w:start="720" w:end="0"/>
        <w:rPr/>
      </w:pPr>
      <w:r>
        <w:rPr>
          <w:rStyle w:val="Emphasis"/>
        </w:rPr>
        <w:t>customers.  The regulations may include a requirement that direct</w:t>
      </w:r>
    </w:p>
    <w:p>
      <w:pPr>
        <w:pStyle w:val="Normal"/>
        <w:ind w:start="720" w:end="0"/>
        <w:rPr/>
      </w:pPr>
      <w:r>
        <w:rPr>
          <w:rStyle w:val="Emphasis"/>
        </w:rPr>
        <w:t>transaction customers give reasonable notice to the electrical</w:t>
      </w:r>
    </w:p>
    <w:p>
      <w:pPr>
        <w:pStyle w:val="Normal"/>
        <w:ind w:start="720" w:end="0"/>
        <w:rPr/>
      </w:pPr>
      <w:r>
        <w:rPr>
          <w:rStyle w:val="Emphasis"/>
        </w:rPr>
        <w:t>corporation before the electrical corporation is required to provide</w:t>
      </w:r>
    </w:p>
    <w:p>
      <w:pPr>
        <w:pStyle w:val="Normal"/>
        <w:ind w:start="720" w:end="0"/>
        <w:rPr/>
      </w:pPr>
      <w:r>
        <w:rPr>
          <w:rStyle w:val="Emphasis"/>
        </w:rPr>
        <w:t xml:space="preserve">service to those customers.  The commission shall also adopt regulations regarding the terms and conditions under which customers may elect to be </w:t>
      </w:r>
    </w:p>
    <w:p>
      <w:pPr>
        <w:pStyle w:val="Normal"/>
        <w:ind w:start="720" w:end="0"/>
        <w:rPr/>
      </w:pPr>
      <w:r>
        <w:rPr>
          <w:rStyle w:val="Emphasis"/>
        </w:rPr>
        <w:t>served via direct transactions after the electrical corporation resumes responsibility for serving its residual net short position.</w:t>
      </w:r>
    </w:p>
    <w:p>
      <w:pPr>
        <w:pStyle w:val="Normal"/>
        <w:ind w:start="720" w:end="0"/>
        <w:rPr/>
      </w:pPr>
      <w:r>
        <w:rPr>
          <w:rStyle w:val="Emphasis"/>
        </w:rPr>
        <w:t xml:space="preserve">   </w:t>
      </w:r>
      <w:r>
        <w:rPr>
          <w:rStyle w:val="Emphasis"/>
        </w:rPr>
        <w:t>(i) This section is not applicable to a facility, located on the</w:t>
      </w:r>
    </w:p>
    <w:p>
      <w:pPr>
        <w:pStyle w:val="Normal"/>
        <w:ind w:start="720" w:end="0"/>
        <w:rPr/>
      </w:pPr>
      <w:r>
        <w:rPr>
          <w:rStyle w:val="Emphasis"/>
        </w:rPr>
        <w:t>site of or immediately adjacent to an electric generating plant that</w:t>
      </w:r>
    </w:p>
    <w:p>
      <w:pPr>
        <w:pStyle w:val="Normal"/>
        <w:ind w:start="720" w:end="0"/>
        <w:rPr/>
      </w:pPr>
      <w:r>
        <w:rPr>
          <w:rStyle w:val="Emphasis"/>
        </w:rPr>
        <w:t>is not owned by an electrical corporation, and that meets all of the</w:t>
      </w:r>
    </w:p>
    <w:p>
      <w:pPr>
        <w:pStyle w:val="Normal"/>
        <w:ind w:start="720" w:end="0"/>
        <w:rPr/>
      </w:pPr>
      <w:r>
        <w:rPr>
          <w:rStyle w:val="Emphasis"/>
        </w:rPr>
        <w:t>following criteria:</w:t>
      </w:r>
    </w:p>
    <w:p>
      <w:pPr>
        <w:pStyle w:val="Normal"/>
        <w:ind w:start="720" w:end="0"/>
        <w:rPr/>
      </w:pPr>
      <w:r>
        <w:rPr>
          <w:rStyle w:val="Emphasis"/>
        </w:rPr>
        <w:t xml:space="preserve">   </w:t>
      </w:r>
      <w:r>
        <w:rPr>
          <w:rStyle w:val="Emphasis"/>
        </w:rPr>
        <w:t>(1) Shares common operating facilities with the electric</w:t>
      </w:r>
    </w:p>
    <w:p>
      <w:pPr>
        <w:pStyle w:val="Normal"/>
        <w:ind w:start="720" w:end="0"/>
        <w:rPr/>
      </w:pPr>
      <w:r>
        <w:rPr>
          <w:rStyle w:val="Emphasis"/>
        </w:rPr>
        <w:t>generating plant.</w:t>
      </w:r>
    </w:p>
    <w:p>
      <w:pPr>
        <w:pStyle w:val="Normal"/>
        <w:ind w:start="720" w:end="0"/>
        <w:rPr/>
      </w:pPr>
      <w:r>
        <w:rPr>
          <w:rStyle w:val="Emphasis"/>
        </w:rPr>
        <w:t xml:space="preserve">   </w:t>
      </w:r>
      <w:r>
        <w:rPr>
          <w:rStyle w:val="Emphasis"/>
        </w:rPr>
        <w:t>(2) Has never been served by an electrical corporation.</w:t>
      </w:r>
    </w:p>
    <w:p>
      <w:pPr>
        <w:pStyle w:val="Normal"/>
        <w:ind w:start="720" w:end="0"/>
        <w:rPr/>
      </w:pPr>
      <w:r>
        <w:rPr>
          <w:rStyle w:val="Emphasis"/>
        </w:rPr>
        <w:t xml:space="preserve">   </w:t>
      </w:r>
      <w:r>
        <w:rPr>
          <w:rStyle w:val="Emphasis"/>
        </w:rPr>
        <w:t>(3) Does not require the use of transmission or distribution</w:t>
      </w:r>
    </w:p>
    <w:p>
      <w:pPr>
        <w:pStyle w:val="Normal"/>
        <w:ind w:start="720" w:end="0"/>
        <w:rPr/>
      </w:pPr>
      <w:r>
        <w:rPr>
          <w:rStyle w:val="Emphasis"/>
        </w:rPr>
        <w:t xml:space="preserve">facilities owned by an electrical corporation. </w:t>
      </w:r>
    </w:p>
    <w:p>
      <w:pPr>
        <w:pStyle w:val="Normal"/>
        <w:ind w:start="720" w:end="0"/>
        <w:rPr>
          <w:rStyle w:val="Emphasis"/>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2001-09-11T07:47:00Z</dcterms:created>
  <dc:creator>mflorio</dc:creator>
  <dc:description/>
  <dc:language>en-CA</dc:language>
  <cp:lastModifiedBy>mflorio</cp:lastModifiedBy>
  <dcterms:modified xsi:type="dcterms:W3CDTF">2001-09-11T07:47:00Z</dcterms:modified>
  <cp:revision>2</cp:revision>
  <dc:subject/>
  <dc:title>  SEC</dc:title>
</cp:coreProperties>
</file>