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April 7, 1998</w:t>
      </w:r>
    </w:p>
    <w:p>
      <w:pPr>
        <w:pStyle w:val="Normal"/>
        <w:rPr>
          <w:rFonts w:ascii="Arial" w:hAnsi="Arial" w:eastAsia="Arial" w:cs="Arial"/>
          <w:sz w:val="22"/>
          <w:szCs w:val="22"/>
        </w:rPr>
      </w:pPr>
      <w:r>
        <w:rPr>
          <w:rFonts w:eastAsia="Arial" w:cs="Arial" w:ascii="Arial" w:hAnsi="Arial"/>
          <w:sz w:val="22"/>
          <w:szCs w:val="22"/>
        </w:rPr>
      </w:r>
    </w:p>
    <w:p>
      <w:pPr>
        <w:pStyle w:val="Normal"/>
        <w:jc w:val="end"/>
        <w:rPr>
          <w:rFonts w:ascii="Arial" w:hAnsi="Arial" w:eastAsia="Arial" w:cs="Arial"/>
          <w:b/>
          <w:bCs/>
          <w:sz w:val="22"/>
          <w:szCs w:val="22"/>
        </w:rPr>
      </w:pPr>
      <w:r>
        <w:rPr>
          <w:rFonts w:eastAsia="Arial" w:cs="Arial" w:ascii="Arial" w:hAnsi="Arial"/>
          <w:b/>
          <w:bCs/>
          <w:sz w:val="22"/>
          <w:szCs w:val="22"/>
        </w:rPr>
        <w:t>Via Facsimile</w:t>
      </w:r>
    </w:p>
    <w:p>
      <w:pPr>
        <w:pStyle w:val="Normal"/>
        <w:jc w:val="end"/>
        <w:rPr>
          <w:rFonts w:ascii="Arial" w:hAnsi="Arial" w:eastAsia="Arial" w:cs="Arial"/>
          <w:sz w:val="22"/>
          <w:szCs w:val="22"/>
        </w:rPr>
      </w:pPr>
      <w:r>
        <w:rPr>
          <w:rFonts w:eastAsia="Arial" w:cs="Arial" w:ascii="Arial" w:hAnsi="Arial"/>
          <w:sz w:val="22"/>
          <w:szCs w:val="22"/>
        </w:rPr>
        <w:t>(Original To Follow Via Courier)</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The Honourable Dr. Steven West</w:t>
      </w:r>
    </w:p>
    <w:p>
      <w:pPr>
        <w:pStyle w:val="Normal"/>
        <w:rPr>
          <w:rFonts w:ascii="Arial" w:hAnsi="Arial" w:eastAsia="Arial" w:cs="Arial"/>
          <w:sz w:val="22"/>
          <w:szCs w:val="22"/>
        </w:rPr>
      </w:pPr>
      <w:r>
        <w:rPr>
          <w:rFonts w:eastAsia="Arial" w:cs="Arial" w:ascii="Arial" w:hAnsi="Arial"/>
          <w:sz w:val="22"/>
          <w:szCs w:val="22"/>
        </w:rPr>
        <w:t xml:space="preserve">Minister of Energy </w:t>
      </w:r>
    </w:p>
    <w:p>
      <w:pPr>
        <w:pStyle w:val="Normal"/>
        <w:rPr>
          <w:rFonts w:ascii="Arial" w:hAnsi="Arial" w:eastAsia="Arial" w:cs="Arial"/>
          <w:sz w:val="22"/>
          <w:szCs w:val="22"/>
        </w:rPr>
      </w:pPr>
      <w:r>
        <w:rPr>
          <w:rFonts w:eastAsia="Arial" w:cs="Arial" w:ascii="Arial" w:hAnsi="Arial"/>
          <w:sz w:val="22"/>
          <w:szCs w:val="22"/>
        </w:rPr>
        <w:t>Room 408, Legislature Building</w:t>
      </w:r>
    </w:p>
    <w:p>
      <w:pPr>
        <w:pStyle w:val="Normal"/>
        <w:rPr/>
      </w:pPr>
      <w:r>
        <w:rPr>
          <w:rFonts w:eastAsia="Arial" w:cs="Arial" w:ascii="Arial" w:hAnsi="Arial"/>
          <w:sz w:val="22"/>
          <w:szCs w:val="22"/>
        </w:rPr>
        <w:t>10800 - 97</w:t>
      </w:r>
      <w:r>
        <w:rPr>
          <w:rFonts w:eastAsia="Arial" w:cs="Arial" w:ascii="Arial" w:hAnsi="Arial"/>
          <w:sz w:val="22"/>
          <w:szCs w:val="22"/>
          <w:vertAlign w:val="superscript"/>
        </w:rPr>
        <w:t>th</w:t>
      </w:r>
      <w:r>
        <w:rPr>
          <w:rFonts w:eastAsia="Arial" w:cs="Arial" w:ascii="Arial" w:hAnsi="Arial"/>
          <w:sz w:val="22"/>
          <w:szCs w:val="22"/>
        </w:rPr>
        <w:t xml:space="preserve"> Avenue</w:t>
      </w:r>
    </w:p>
    <w:p>
      <w:pPr>
        <w:pStyle w:val="Normal"/>
        <w:rPr>
          <w:rFonts w:ascii="Arial" w:hAnsi="Arial" w:eastAsia="Arial" w:cs="Arial"/>
          <w:b/>
          <w:bCs/>
          <w:sz w:val="22"/>
          <w:szCs w:val="22"/>
        </w:rPr>
      </w:pPr>
      <w:r>
        <w:rPr>
          <w:rFonts w:eastAsia="Arial" w:cs="Arial" w:ascii="Arial" w:hAnsi="Arial"/>
          <w:sz w:val="22"/>
          <w:szCs w:val="22"/>
        </w:rPr>
        <w:t>Edmonton, Alberta  T5K 2B6</w:t>
      </w:r>
    </w:p>
    <w:p>
      <w:pPr>
        <w:pStyle w:val="Normal"/>
        <w:rPr>
          <w:rFonts w:ascii="Arial" w:hAnsi="Arial" w:eastAsia="Arial" w:cs="Arial"/>
          <w:b/>
          <w:bCs/>
          <w:sz w:val="22"/>
          <w:szCs w:val="22"/>
        </w:rPr>
      </w:pPr>
      <w:r>
        <w:rPr>
          <w:rFonts w:eastAsia="Arial" w:cs="Arial" w:ascii="Arial" w:hAnsi="Arial"/>
          <w:b/>
          <w:bCs/>
          <w:sz w:val="22"/>
          <w:szCs w:val="22"/>
        </w:rPr>
      </w:r>
    </w:p>
    <w:p>
      <w:pPr>
        <w:pStyle w:val="Normal"/>
        <w:rPr>
          <w:rFonts w:ascii="Arial" w:hAnsi="Arial" w:eastAsia="Arial" w:cs="Arial"/>
          <w:sz w:val="22"/>
          <w:szCs w:val="22"/>
        </w:rPr>
      </w:pPr>
      <w:r>
        <w:rPr>
          <w:rFonts w:eastAsia="Arial" w:cs="Arial" w:ascii="Arial" w:hAnsi="Arial"/>
          <w:sz w:val="22"/>
          <w:szCs w:val="22"/>
        </w:rPr>
        <w:t>Dear Minister West:</w:t>
      </w:r>
    </w:p>
    <w:p>
      <w:pPr>
        <w:pStyle w:val="Normal"/>
        <w:rPr>
          <w:rFonts w:ascii="Arial" w:hAnsi="Arial" w:eastAsia="Arial" w:cs="Arial"/>
          <w:sz w:val="22"/>
          <w:szCs w:val="22"/>
        </w:rPr>
      </w:pPr>
      <w:r>
        <w:rPr>
          <w:rFonts w:eastAsia="Arial" w:cs="Arial" w:ascii="Arial" w:hAnsi="Arial"/>
          <w:sz w:val="22"/>
          <w:szCs w:val="22"/>
        </w:rPr>
      </w:r>
    </w:p>
    <w:p>
      <w:pPr>
        <w:pStyle w:val="Normal"/>
        <w:spacing w:lineRule="atLeast" w:line="240"/>
        <w:rPr>
          <w:rFonts w:ascii="Arial" w:hAnsi="Arial" w:eastAsia="Arial" w:cs="Arial"/>
          <w:sz w:val="22"/>
          <w:szCs w:val="22"/>
        </w:rPr>
      </w:pPr>
      <w:r>
        <w:rPr>
          <w:rFonts w:eastAsia="Arial" w:cs="Arial" w:ascii="Arial" w:hAnsi="Arial"/>
          <w:b/>
          <w:bCs/>
          <w:sz w:val="22"/>
          <w:szCs w:val="22"/>
          <w:u w:val="single"/>
        </w:rPr>
        <w:t>Re:</w:t>
        <w:tab/>
        <w:t>Bill 27 -  Alberta Electric Industry Restructuring</w:t>
      </w:r>
    </w:p>
    <w:p>
      <w:pPr>
        <w:pStyle w:val="Normal"/>
        <w:spacing w:lineRule="atLeast" w:line="240"/>
        <w:rPr>
          <w:rFonts w:ascii="Arial" w:hAnsi="Arial" w:eastAsia="Arial" w:cs="Arial"/>
          <w:sz w:val="22"/>
          <w:szCs w:val="22"/>
        </w:rPr>
      </w:pPr>
      <w:r>
        <w:rPr>
          <w:rFonts w:eastAsia="Arial" w:cs="Arial" w:ascii="Arial" w:hAnsi="Arial"/>
          <w:sz w:val="22"/>
          <w:szCs w:val="22"/>
        </w:rPr>
      </w:r>
    </w:p>
    <w:p>
      <w:pPr>
        <w:pStyle w:val="Normal"/>
        <w:spacing w:lineRule="atLeast" w:line="240"/>
        <w:jc w:val="both"/>
        <w:rPr>
          <w:rFonts w:ascii="Arial" w:hAnsi="Arial" w:eastAsia="Arial" w:cs="Arial"/>
          <w:sz w:val="22"/>
          <w:szCs w:val="22"/>
        </w:rPr>
      </w:pPr>
      <w:r>
        <w:rPr>
          <w:rFonts w:eastAsia="Arial" w:cs="Arial" w:ascii="Arial" w:hAnsi="Arial"/>
          <w:sz w:val="22"/>
          <w:szCs w:val="22"/>
        </w:rPr>
        <w:t xml:space="preserve">Enron Capital &amp; Trade Resources Canada Corp. (“ECT Canada”) is a Canadian energy services provider based in Calgary.  It is an active participant in the Alberta natural gas and electricity markets and a member of the Power Pool of Alberta.  ECT Canada is a subsidiary of Enron Capital &amp; Trade Resources Corp., the largest purchaser and marketer of natural gas and the largest wholesale marketer of electricity in North America.  Enron Capital &amp; Trade Resources Corp. and Enron International conduct Enron’s Wholesale Energy Operations and Services businesses and have an extensive track record developing, constructing, and operating power projects, including solar and wind power facilities, worldwide. </w:t>
      </w:r>
    </w:p>
    <w:p>
      <w:pPr>
        <w:pStyle w:val="Normal"/>
        <w:spacing w:lineRule="atLeast" w:line="240"/>
        <w:jc w:val="both"/>
        <w:rPr>
          <w:rFonts w:ascii="Arial" w:hAnsi="Arial" w:eastAsia="Arial" w:cs="Arial"/>
          <w:sz w:val="22"/>
          <w:szCs w:val="22"/>
        </w:rPr>
      </w:pPr>
      <w:r>
        <w:rPr>
          <w:rFonts w:eastAsia="Arial" w:cs="Arial" w:ascii="Arial" w:hAnsi="Arial"/>
          <w:sz w:val="22"/>
          <w:szCs w:val="22"/>
        </w:rPr>
      </w:r>
    </w:p>
    <w:p>
      <w:pPr>
        <w:pStyle w:val="Normal"/>
        <w:spacing w:lineRule="atLeast" w:line="240"/>
        <w:jc w:val="both"/>
        <w:rPr/>
      </w:pPr>
      <w:r>
        <w:rPr>
          <w:rFonts w:eastAsia="Arial" w:cs="Arial" w:ascii="Arial" w:hAnsi="Arial"/>
          <w:sz w:val="22"/>
          <w:szCs w:val="22"/>
        </w:rPr>
        <w:t xml:space="preserve">ECT Canada believes that restructuring the Alberta electric industry in a manner that facilitates competition will serve to promote the public interest by: lowering prices for energy services to all consumers, increasing customer choice, and improving the quality and variety of available services.   We are supportive of the Alberta Government’s commitment to a competitive electric industry and agree with its assessment that changes to the </w:t>
      </w:r>
      <w:r>
        <w:rPr>
          <w:rFonts w:eastAsia="Arial" w:cs="Arial" w:ascii="Arial" w:hAnsi="Arial"/>
          <w:sz w:val="22"/>
          <w:szCs w:val="22"/>
          <w:u w:val="single"/>
        </w:rPr>
        <w:t>Electric Utilities Act</w:t>
      </w:r>
      <w:r>
        <w:rPr>
          <w:rFonts w:eastAsia="Arial" w:cs="Arial" w:ascii="Arial" w:hAnsi="Arial"/>
          <w:sz w:val="22"/>
          <w:szCs w:val="22"/>
        </w:rPr>
        <w:t xml:space="preserve"> are required to encourage the development of new generation facilities in Alberta. </w:t>
      </w:r>
    </w:p>
    <w:p>
      <w:pPr>
        <w:pStyle w:val="Normal"/>
        <w:spacing w:lineRule="atLeast" w:line="240"/>
        <w:jc w:val="both"/>
        <w:rPr>
          <w:rFonts w:ascii="Arial" w:hAnsi="Arial" w:eastAsia="Arial" w:cs="Arial"/>
          <w:sz w:val="22"/>
          <w:szCs w:val="22"/>
        </w:rPr>
      </w:pPr>
      <w:r>
        <w:rPr>
          <w:rFonts w:eastAsia="Arial" w:cs="Arial" w:ascii="Arial" w:hAnsi="Arial"/>
          <w:sz w:val="22"/>
          <w:szCs w:val="22"/>
        </w:rPr>
      </w:r>
    </w:p>
    <w:p>
      <w:pPr>
        <w:pStyle w:val="Normal"/>
        <w:spacing w:lineRule="atLeast" w:line="240"/>
        <w:jc w:val="both"/>
        <w:rPr>
          <w:rFonts w:ascii="Arial" w:hAnsi="Arial" w:eastAsia="Arial" w:cs="Arial"/>
          <w:sz w:val="22"/>
          <w:szCs w:val="22"/>
        </w:rPr>
      </w:pPr>
      <w:r>
        <w:rPr>
          <w:rFonts w:eastAsia="Arial" w:cs="Arial" w:ascii="Arial" w:hAnsi="Arial"/>
          <w:sz w:val="22"/>
          <w:szCs w:val="22"/>
        </w:rPr>
        <w:t xml:space="preserve">Like many of the other industry stakeholders, ECT Canada is concerned that Bill 27 does not address a number of important issues, and has left others to be dealt with by regulation.   We do not propose to review all of our concerns in this letter, but two specific concerns warrant comment.  </w:t>
      </w:r>
    </w:p>
    <w:p>
      <w:pPr>
        <w:pStyle w:val="Normal"/>
        <w:spacing w:lineRule="atLeast" w:line="240"/>
        <w:jc w:val="both"/>
        <w:rPr>
          <w:rFonts w:ascii="Arial" w:hAnsi="Arial" w:eastAsia="Arial" w:cs="Arial"/>
          <w:sz w:val="22"/>
          <w:szCs w:val="22"/>
        </w:rPr>
      </w:pPr>
      <w:r>
        <w:rPr>
          <w:rFonts w:eastAsia="Arial" w:cs="Arial" w:ascii="Arial" w:hAnsi="Arial"/>
          <w:sz w:val="22"/>
          <w:szCs w:val="22"/>
        </w:rPr>
      </w:r>
    </w:p>
    <w:p>
      <w:pPr>
        <w:pStyle w:val="Normal"/>
        <w:spacing w:lineRule="atLeast" w:line="240"/>
        <w:jc w:val="both"/>
        <w:rPr/>
      </w:pPr>
      <w:r>
        <w:rPr>
          <w:rFonts w:eastAsia="Arial" w:cs="Arial" w:ascii="Arial" w:hAnsi="Arial"/>
          <w:sz w:val="22"/>
          <w:szCs w:val="22"/>
        </w:rPr>
        <w:t xml:space="preserve">First, ECT Canada believes that the </w:t>
      </w:r>
      <w:r>
        <w:rPr>
          <w:rFonts w:eastAsia="Arial" w:cs="Arial" w:ascii="Arial" w:hAnsi="Arial"/>
          <w:sz w:val="22"/>
          <w:szCs w:val="22"/>
          <w:u w:val="single"/>
        </w:rPr>
        <w:t>Electric Utilities Act</w:t>
      </w:r>
      <w:r>
        <w:rPr>
          <w:rFonts w:eastAsia="Arial" w:cs="Arial" w:ascii="Arial" w:hAnsi="Arial"/>
          <w:sz w:val="22"/>
          <w:szCs w:val="22"/>
        </w:rPr>
        <w:t xml:space="preserve"> must be amended to allow buyers and sellers of electricity to have a choice to enter into physical bilateral contracts, instead of being required to transact through the Power Pool.  This view is consistent with the conclusions of London Economics, Inc., in its Final Report to the Alberta Department of Energy (“the London Economics Report”).  It is also consistent with the recommendations of both the British Columbia Task Force on Electricity Market Reform and the Ontario Market Design Committee, related to electric industry restructuring in each of those jurisdictions.  </w:t>
      </w:r>
    </w:p>
    <w:p>
      <w:pPr>
        <w:pStyle w:val="Normal"/>
        <w:spacing w:lineRule="atLeast" w:line="240"/>
        <w:jc w:val="both"/>
        <w:rPr>
          <w:rFonts w:ascii="Arial" w:hAnsi="Arial" w:eastAsia="Arial" w:cs="Arial"/>
          <w:sz w:val="22"/>
          <w:szCs w:val="22"/>
        </w:rPr>
      </w:pPr>
      <w:r>
        <w:rPr>
          <w:rFonts w:eastAsia="Arial" w:cs="Arial" w:ascii="Arial" w:hAnsi="Arial"/>
          <w:sz w:val="22"/>
          <w:szCs w:val="22"/>
        </w:rPr>
      </w:r>
    </w:p>
    <w:p>
      <w:pPr>
        <w:pStyle w:val="Normal"/>
        <w:spacing w:lineRule="atLeast" w:line="240"/>
        <w:jc w:val="both"/>
        <w:rPr>
          <w:rFonts w:ascii="Arial" w:hAnsi="Arial" w:eastAsia="Arial" w:cs="Arial"/>
          <w:sz w:val="22"/>
          <w:szCs w:val="22"/>
        </w:rPr>
      </w:pPr>
      <w:r>
        <w:rPr>
          <w:rFonts w:eastAsia="Arial" w:cs="Arial" w:ascii="Arial" w:hAnsi="Arial"/>
          <w:sz w:val="22"/>
          <w:szCs w:val="22"/>
        </w:rPr>
        <w:t>Second, Bill 27 has adopted the structure, but not the details, of the Auctioned Bidding Transfer Contracts model outlined in the London Economics Report.  The London Economics Report provided specific details relating to the rights a successful bidder for a power purchase agreement would enjoy, such as the right to control dispatch of the unit.  These details are not found in the bill, but have been left to be addressed in the regulations.  ECT Canada is concerned by the uncertainty that this invites, because it is our view that the ability of this model to mitigate market power is absolutely dependent on the rights and rules that define the model.   We encourage the government to confirm its intention to implement the structure, and details, of the model described in the London Economics Report.</w:t>
      </w:r>
    </w:p>
    <w:p>
      <w:pPr>
        <w:pStyle w:val="Normal"/>
        <w:spacing w:lineRule="atLeast" w:line="240"/>
        <w:jc w:val="both"/>
        <w:rPr>
          <w:rFonts w:ascii="Arial" w:hAnsi="Arial" w:eastAsia="Arial" w:cs="Arial"/>
          <w:sz w:val="22"/>
          <w:szCs w:val="22"/>
        </w:rPr>
      </w:pPr>
      <w:r>
        <w:rPr>
          <w:rFonts w:eastAsia="Arial" w:cs="Arial" w:ascii="Arial" w:hAnsi="Arial"/>
          <w:sz w:val="22"/>
          <w:szCs w:val="22"/>
        </w:rPr>
      </w:r>
    </w:p>
    <w:p>
      <w:pPr>
        <w:pStyle w:val="Normal"/>
        <w:spacing w:lineRule="atLeast" w:line="240"/>
        <w:jc w:val="both"/>
        <w:rPr/>
      </w:pPr>
      <w:r>
        <w:rPr>
          <w:rFonts w:eastAsia="Arial" w:cs="Arial" w:ascii="Arial" w:hAnsi="Arial"/>
          <w:sz w:val="22"/>
          <w:szCs w:val="22"/>
        </w:rPr>
        <w:t xml:space="preserve">Notwithstanding our concern with specific elements of Bill 27, ECT Canada supports the policy objectives behind the bill and accepts the government’s position that the bill is designed to establish the framework around which the restructuring process can proceed.  We are encouraged by your commitment to subject the regulations to full public consultation and, if necessary, bring the </w:t>
      </w:r>
      <w:r>
        <w:rPr>
          <w:rFonts w:eastAsia="Arial" w:cs="Arial" w:ascii="Arial" w:hAnsi="Arial"/>
          <w:sz w:val="22"/>
          <w:szCs w:val="22"/>
          <w:u w:val="single"/>
        </w:rPr>
        <w:t>Electric Utilities Act</w:t>
      </w:r>
      <w:r>
        <w:rPr>
          <w:rFonts w:eastAsia="Arial" w:cs="Arial" w:ascii="Arial" w:hAnsi="Arial"/>
          <w:sz w:val="22"/>
          <w:szCs w:val="22"/>
        </w:rPr>
        <w:t xml:space="preserve"> back to the Legislative Assembly for amendments in the spring of 1999.   We are confident that we can work with your department, and other industry stakeholders, over the coming months, to resolve the issues of concern to ECT Canada.  In view of this, ECT Canada wishes to join the majority of other Alberta electric industry stakeholders and express its support for Bill 27.</w:t>
      </w:r>
    </w:p>
    <w:p>
      <w:pPr>
        <w:pStyle w:val="Normal"/>
        <w:spacing w:lineRule="atLeast" w:line="240"/>
        <w:jc w:val="both"/>
        <w:rPr>
          <w:rFonts w:ascii="Arial" w:hAnsi="Arial" w:eastAsia="Arial" w:cs="Arial"/>
          <w:sz w:val="22"/>
          <w:szCs w:val="22"/>
        </w:rPr>
      </w:pPr>
      <w:r>
        <w:rPr>
          <w:rFonts w:eastAsia="Arial" w:cs="Arial" w:ascii="Arial" w:hAnsi="Arial"/>
          <w:sz w:val="22"/>
          <w:szCs w:val="22"/>
        </w:rPr>
      </w:r>
    </w:p>
    <w:p>
      <w:pPr>
        <w:pStyle w:val="Normal"/>
        <w:ind w:start="3600" w:end="0"/>
        <w:jc w:val="both"/>
        <w:rPr>
          <w:rFonts w:ascii="Arial" w:hAnsi="Arial" w:eastAsia="Arial" w:cs="Arial"/>
          <w:sz w:val="22"/>
          <w:szCs w:val="22"/>
        </w:rPr>
      </w:pPr>
      <w:r>
        <w:rPr>
          <w:rFonts w:eastAsia="Arial" w:cs="Arial" w:ascii="Arial" w:hAnsi="Arial"/>
          <w:sz w:val="22"/>
          <w:szCs w:val="22"/>
        </w:rPr>
      </w:r>
    </w:p>
    <w:p>
      <w:pPr>
        <w:pStyle w:val="Normal"/>
        <w:ind w:start="3600" w:end="0"/>
        <w:jc w:val="both"/>
        <w:rPr>
          <w:rFonts w:ascii="Arial" w:hAnsi="Arial" w:eastAsia="Arial" w:cs="Arial"/>
          <w:sz w:val="22"/>
          <w:szCs w:val="22"/>
        </w:rPr>
      </w:pPr>
      <w:r>
        <w:rPr>
          <w:rFonts w:eastAsia="Arial" w:cs="Arial" w:ascii="Arial" w:hAnsi="Arial"/>
          <w:sz w:val="22"/>
          <w:szCs w:val="22"/>
        </w:rPr>
        <w:t>Yours truly,</w:t>
      </w:r>
    </w:p>
    <w:p>
      <w:pPr>
        <w:pStyle w:val="Normal"/>
        <w:ind w:start="3600" w:end="0"/>
        <w:jc w:val="both"/>
        <w:rPr>
          <w:rFonts w:ascii="Arial" w:hAnsi="Arial" w:eastAsia="Arial" w:cs="Arial"/>
          <w:sz w:val="22"/>
          <w:szCs w:val="22"/>
        </w:rPr>
      </w:pPr>
      <w:r>
        <w:rPr>
          <w:rFonts w:eastAsia="Arial" w:cs="Arial" w:ascii="Arial" w:hAnsi="Arial"/>
          <w:sz w:val="22"/>
          <w:szCs w:val="22"/>
        </w:rPr>
      </w:r>
    </w:p>
    <w:p>
      <w:pPr>
        <w:pStyle w:val="Normal"/>
        <w:ind w:start="3600" w:end="0"/>
        <w:jc w:val="both"/>
        <w:rPr>
          <w:rFonts w:ascii="Arial" w:hAnsi="Arial" w:eastAsia="Arial" w:cs="Arial"/>
          <w:b/>
          <w:bCs/>
          <w:sz w:val="22"/>
          <w:szCs w:val="22"/>
        </w:rPr>
      </w:pPr>
      <w:r>
        <w:rPr>
          <w:rFonts w:eastAsia="Arial" w:cs="Arial" w:ascii="Arial" w:hAnsi="Arial"/>
          <w:b/>
          <w:bCs/>
          <w:sz w:val="22"/>
          <w:szCs w:val="22"/>
        </w:rPr>
        <w:t xml:space="preserve">ENRON CAPITAL &amp; TRADE </w:t>
      </w:r>
    </w:p>
    <w:p>
      <w:pPr>
        <w:pStyle w:val="Normal"/>
        <w:ind w:start="3600" w:end="0"/>
        <w:jc w:val="both"/>
        <w:rPr>
          <w:rFonts w:ascii="Arial" w:hAnsi="Arial" w:eastAsia="Arial" w:cs="Arial"/>
          <w:b/>
          <w:bCs/>
          <w:sz w:val="22"/>
          <w:szCs w:val="22"/>
        </w:rPr>
      </w:pPr>
      <w:r>
        <w:rPr>
          <w:rFonts w:eastAsia="Arial" w:cs="Arial" w:ascii="Arial" w:hAnsi="Arial"/>
          <w:b/>
          <w:bCs/>
          <w:sz w:val="22"/>
          <w:szCs w:val="22"/>
        </w:rPr>
        <w:t>RESOURCES CANADA CORP.</w:t>
      </w:r>
    </w:p>
    <w:p>
      <w:pPr>
        <w:pStyle w:val="Normal"/>
        <w:ind w:start="3600" w:end="0"/>
        <w:jc w:val="both"/>
        <w:rPr>
          <w:rFonts w:ascii="Arial" w:hAnsi="Arial" w:eastAsia="Arial" w:cs="Arial"/>
          <w:b/>
          <w:bCs/>
          <w:sz w:val="22"/>
          <w:szCs w:val="22"/>
        </w:rPr>
      </w:pPr>
      <w:r>
        <w:rPr>
          <w:rFonts w:eastAsia="Arial" w:cs="Arial" w:ascii="Arial" w:hAnsi="Arial"/>
          <w:b/>
          <w:bCs/>
          <w:sz w:val="22"/>
          <w:szCs w:val="22"/>
        </w:rPr>
      </w:r>
    </w:p>
    <w:p>
      <w:pPr>
        <w:pStyle w:val="Normal"/>
        <w:ind w:start="3600" w:end="0"/>
        <w:jc w:val="both"/>
        <w:rPr>
          <w:rFonts w:ascii="Arial" w:hAnsi="Arial" w:eastAsia="Arial" w:cs="Arial"/>
          <w:sz w:val="22"/>
          <w:szCs w:val="22"/>
        </w:rPr>
      </w:pPr>
      <w:r>
        <w:rPr>
          <w:rFonts w:eastAsia="Arial" w:cs="Arial" w:ascii="Arial" w:hAnsi="Arial"/>
          <w:sz w:val="22"/>
          <w:szCs w:val="22"/>
        </w:rPr>
      </w:r>
    </w:p>
    <w:p>
      <w:pPr>
        <w:pStyle w:val="Normal"/>
        <w:ind w:start="3600" w:end="0"/>
        <w:jc w:val="both"/>
        <w:rPr>
          <w:rFonts w:ascii="Arial" w:hAnsi="Arial" w:eastAsia="Arial" w:cs="Arial"/>
          <w:sz w:val="22"/>
          <w:szCs w:val="22"/>
        </w:rPr>
      </w:pPr>
      <w:r>
        <w:rPr>
          <w:rFonts w:eastAsia="Arial" w:cs="Arial" w:ascii="Arial" w:hAnsi="Arial"/>
          <w:sz w:val="22"/>
          <w:szCs w:val="22"/>
        </w:rPr>
      </w:r>
    </w:p>
    <w:p>
      <w:pPr>
        <w:pStyle w:val="Normal"/>
        <w:ind w:start="3600" w:end="0"/>
        <w:jc w:val="both"/>
        <w:rPr>
          <w:rFonts w:ascii="Arial" w:hAnsi="Arial" w:eastAsia="Arial" w:cs="Arial"/>
          <w:sz w:val="22"/>
          <w:szCs w:val="22"/>
        </w:rPr>
      </w:pPr>
      <w:r>
        <w:rPr>
          <w:rFonts w:eastAsia="Arial" w:cs="Arial" w:ascii="Arial" w:hAnsi="Arial"/>
          <w:sz w:val="22"/>
          <w:szCs w:val="22"/>
        </w:rPr>
        <w:t xml:space="preserve">Robert Hemstock </w:t>
      </w:r>
    </w:p>
    <w:p>
      <w:pPr>
        <w:pStyle w:val="Normal"/>
        <w:ind w:start="3600" w:end="0"/>
        <w:jc w:val="both"/>
        <w:rPr>
          <w:sz w:val="22"/>
          <w:szCs w:val="22"/>
        </w:rPr>
      </w:pPr>
      <w:r>
        <w:rPr>
          <w:rFonts w:eastAsia="Arial" w:cs="Arial" w:ascii="Arial" w:hAnsi="Arial"/>
          <w:sz w:val="22"/>
          <w:szCs w:val="22"/>
        </w:rPr>
        <w:t xml:space="preserve">Manager, Government Affairs </w:t>
      </w:r>
    </w:p>
    <w:p>
      <w:pPr>
        <w:pStyle w:val="Normal"/>
        <w:jc w:val="both"/>
        <w:rPr>
          <w:sz w:val="22"/>
          <w:szCs w:val="22"/>
        </w:rPr>
      </w:pPr>
      <w:r>
        <w:rPr>
          <w:sz w:val="22"/>
          <w:szCs w:val="22"/>
        </w:rPr>
      </w:r>
    </w:p>
    <w:p>
      <w:pPr>
        <w:pStyle w:val="Normal"/>
        <w:jc w:val="both"/>
        <w:rPr>
          <w:rFonts w:ascii="Arial" w:hAnsi="Arial" w:eastAsia="Arial" w:cs="Arial"/>
          <w:sz w:val="22"/>
          <w:szCs w:val="22"/>
        </w:rPr>
      </w:pPr>
      <w:r>
        <w:rPr>
          <w:rFonts w:eastAsia="Arial" w:cs="Arial" w:ascii="Arial" w:hAnsi="Arial"/>
          <w:sz w:val="22"/>
          <w:szCs w:val="22"/>
        </w:rPr>
        <w:t>RH/ljl</w:t>
      </w:r>
    </w:p>
    <w:p>
      <w:pPr>
        <w:pStyle w:val="Normal"/>
        <w:rPr>
          <w:rFonts w:ascii="Arial" w:hAnsi="Arial" w:eastAsia="Arial" w:cs="Arial"/>
          <w:sz w:val="22"/>
          <w:szCs w:val="22"/>
        </w:rPr>
      </w:pPr>
      <w:r>
        <w:rPr>
          <w:rFonts w:eastAsia="Arial" w:cs="Arial" w:ascii="Arial" w:hAnsi="Arial"/>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t xml:space="preserve">I:\secure\regulatory\letters\Dr.West.let4.doc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eastAsia="Arial" w:cs="Arial"/>
        <w:sz w:val="18"/>
        <w:szCs w:val="18"/>
      </w:rPr>
    </w:pPr>
    <w:r>
      <w:rPr>
        <w:rFonts w:eastAsia="Arial" w:cs="Arial" w:ascii="Arial" w:hAnsi="Arial"/>
        <w:sz w:val="18"/>
        <w:szCs w:val="18"/>
      </w:rPr>
      <w:t>The Honourable Dr. Steven West</w:t>
    </w:r>
  </w:p>
  <w:p>
    <w:pPr>
      <w:pStyle w:val="Header"/>
      <w:jc w:val="end"/>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DATE \@"MMMM\ d', 'yyyy" </w:instrText>
    </w:r>
    <w:r>
      <w:rPr>
        <w:sz w:val="18"/>
        <w:szCs w:val="18"/>
        <w:rFonts w:eastAsia="Arial" w:cs="Arial" w:ascii="Arial" w:hAnsi="Arial"/>
      </w:rPr>
      <w:fldChar w:fldCharType="separate"/>
    </w:r>
    <w:r>
      <w:rPr>
        <w:sz w:val="18"/>
        <w:szCs w:val="18"/>
        <w:rFonts w:eastAsia="Arial" w:cs="Arial" w:ascii="Arial" w:hAnsi="Arial"/>
      </w:rPr>
      <w:t>September 28, 2025</w:t>
    </w:r>
    <w:r>
      <w:rPr>
        <w:sz w:val="18"/>
        <w:szCs w:val="18"/>
        <w:rFonts w:eastAsia="Arial" w:cs="Arial" w:ascii="Arial" w:hAnsi="Arial"/>
      </w:rPr>
      <w:fldChar w:fldCharType="end"/>
    </w:r>
  </w:p>
  <w:p>
    <w:pPr>
      <w:pStyle w:val="Header"/>
      <w:jc w:val="end"/>
      <w:rPr>
        <w:rStyle w:val="PageNumber"/>
        <w:rFonts w:ascii="Arial" w:hAnsi="Arial" w:eastAsia="Arial" w:cs="Arial"/>
        <w:sz w:val="18"/>
        <w:szCs w:val="18"/>
      </w:rPr>
    </w:pPr>
    <w:r>
      <w:rPr>
        <w:rFonts w:eastAsia="Arial" w:cs="Arial" w:ascii="Arial" w:hAnsi="Arial"/>
        <w:sz w:val="18"/>
        <w:szCs w:val="18"/>
      </w:rPr>
      <w:t xml:space="preserve">Page </w:t>
    </w:r>
    <w:r>
      <w:rPr>
        <w:rStyle w:val="PageNumber"/>
        <w:rFonts w:eastAsia="Arial" w:cs="Arial" w:ascii="Arial" w:hAnsi="Arial"/>
        <w:sz w:val="18"/>
        <w:szCs w:val="18"/>
      </w:rPr>
      <w:fldChar w:fldCharType="begin"/>
    </w:r>
    <w:r>
      <w:rPr>
        <w:rStyle w:val="PageNumber"/>
        <w:sz w:val="18"/>
        <w:szCs w:val="18"/>
        <w:rFonts w:eastAsia="Arial" w:cs="Arial" w:ascii="Arial" w:hAnsi="Arial"/>
      </w:rPr>
      <w:instrText xml:space="preserve"> PAGE </w:instrText>
    </w:r>
    <w:r>
      <w:rPr>
        <w:rStyle w:val="PageNumber"/>
        <w:sz w:val="18"/>
        <w:szCs w:val="18"/>
        <w:rFonts w:eastAsia="Arial" w:cs="Arial" w:ascii="Arial" w:hAnsi="Arial"/>
      </w:rPr>
      <w:fldChar w:fldCharType="separate"/>
    </w:r>
    <w:r>
      <w:rPr>
        <w:rStyle w:val="PageNumber"/>
        <w:sz w:val="18"/>
        <w:szCs w:val="18"/>
        <w:rFonts w:eastAsia="Arial" w:cs="Arial" w:ascii="Arial" w:hAnsi="Arial"/>
      </w:rPr>
      <w:t>2</w:t>
    </w:r>
    <w:r>
      <w:rPr>
        <w:rStyle w:val="PageNumber"/>
        <w:sz w:val="18"/>
        <w:szCs w:val="18"/>
        <w:rFonts w:eastAsia="Arial" w:cs="Arial" w:ascii="Arial" w:hAnsi="Arial"/>
      </w:rPr>
      <w:fldChar w:fldCharType="end"/>
    </w:r>
  </w:p>
  <w:p>
    <w:pPr>
      <w:pStyle w:val="Header"/>
      <w:jc w:val="end"/>
      <w:rPr>
        <w:rStyle w:val="PageNumber"/>
        <w:rFonts w:ascii="Arial" w:hAnsi="Arial" w:eastAsia="Arial" w:cs="Arial"/>
        <w:sz w:val="18"/>
        <w:szCs w:val="18"/>
      </w:rPr>
    </w:pPr>
    <w:r>
      <w:rPr/>
    </w:r>
  </w:p>
  <w:p>
    <w:pPr>
      <w:pStyle w:val="Header"/>
      <w:jc w:val="end"/>
      <w:rPr>
        <w:rStyle w:val="PageNumber"/>
        <w:rFonts w:ascii="Arial" w:hAnsi="Arial" w:eastAsia="Arial" w:cs="Arial"/>
        <w:sz w:val="18"/>
        <w:szCs w:val="18"/>
      </w:rPr>
    </w:pPr>
    <w:r>
      <w:rPr/>
    </w:r>
  </w:p>
  <w:p>
    <w:pPr>
      <w:pStyle w:val="Header"/>
      <w:jc w:val="end"/>
      <w:rPr>
        <w:rStyle w:val="PageNumber"/>
        <w:rFonts w:ascii="Arial" w:hAnsi="Arial" w:eastAsia="Arial" w:cs="Arial"/>
        <w:sz w:val="18"/>
        <w:szCs w:val="18"/>
      </w:rPr>
    </w:pPr>
    <w:r>
      <w:rPr/>
    </w:r>
  </w:p>
  <w:p>
    <w:pPr>
      <w:pStyle w:val="Header"/>
      <w:jc w:val="end"/>
      <w:rPr>
        <w:rStyle w:val="PageNumber"/>
        <w:rFonts w:ascii="Arial" w:hAnsi="Arial" w:eastAsia="Arial" w:cs="Arial"/>
        <w:sz w:val="18"/>
        <w:szCs w:val="18"/>
      </w:rPr>
    </w:pPr>
    <w:r>
      <w:rPr/>
    </w:r>
  </w:p>
  <w:p>
    <w:pPr>
      <w:pStyle w:val="Header"/>
      <w:jc w:val="end"/>
      <w:rPr>
        <w:rStyle w:val="PageNumber"/>
        <w:rFonts w:ascii="Arial" w:hAnsi="Arial" w:eastAsia="Arial" w:cs="Arial"/>
        <w:sz w:val="18"/>
        <w:szCs w:val="18"/>
      </w:rPr>
    </w:pPr>
    <w:r>
      <w:rPr/>
    </w:r>
  </w:p>
  <w:p>
    <w:pPr>
      <w:pStyle w:val="Header"/>
      <w:jc w:val="end"/>
      <w:rPr>
        <w:rStyle w:val="PageNumber"/>
        <w:rFonts w:ascii="Arial" w:hAnsi="Arial" w:eastAsia="Arial" w:cs="Arial"/>
        <w:sz w:val="18"/>
        <w:szCs w:val="18"/>
      </w:rPr>
    </w:pPr>
    <w:r>
      <w:rPr/>
    </w:r>
  </w:p>
  <w:p>
    <w:pPr>
      <w:pStyle w:val="Header"/>
      <w:jc w:val="end"/>
      <w:rPr>
        <w:rStyle w:val="PageNumber"/>
        <w:rFonts w:ascii="Arial" w:hAnsi="Arial" w:eastAsia="Arial" w:cs="Arial"/>
        <w:sz w:val="18"/>
        <w:szCs w:val="18"/>
      </w:rPr>
    </w:pPr>
    <w:r>
      <w:rPr/>
    </w:r>
  </w:p>
  <w:p>
    <w:pPr>
      <w:pStyle w:val="Header"/>
      <w:jc w:val="end"/>
      <w:rPr>
        <w:rStyle w:val="PageNumber"/>
        <w:rFonts w:ascii="Arial" w:hAnsi="Arial" w:eastAsia="Arial" w:cs="Arial"/>
        <w:sz w:val="18"/>
        <w:szCs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1998-04-07T21:38:00Z</dcterms:created>
  <dc:creator>rhemsto</dc:creator>
  <dc:description/>
  <dc:language>en-CA</dc:language>
  <cp:lastModifiedBy>rhemsto</cp:lastModifiedBy>
  <cp:lastPrinted>1998-04-09T10:28:00Z</cp:lastPrinted>
  <dcterms:modified xsi:type="dcterms:W3CDTF">1998-04-09T14:36:00Z</dcterms:modified>
  <cp:revision>5</cp:revision>
  <dc:subject/>
  <dc:title>								December 15, 1997</dc:title>
</cp:coreProperties>
</file>