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Doyle I, LLC </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Walton Electric Membership Corp</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Ron Tapscott</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2"/>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October 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Lynn Nazareth</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rPr>
                      <w:rFonts w:cs="Arial" w:ascii="Arial" w:hAnsi="Arial"/>
                      <w:sz w:val="20"/>
                      <w:highlight w:val="lightGray"/>
                    </w:rPr>
                    <w:t>October 11, 2001</w:t>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October 15,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Divestiture Proceeds to Enron</w:t>
            </w:r>
          </w:p>
        </w:tc>
        <w:tc>
          <w:tcPr>
            <w:tcW w:w="1332" w:type="dxa"/>
            <w:tcBorders/>
          </w:tcPr>
          <w:p>
            <w:pPr>
              <w:pStyle w:val="Normal"/>
              <w:ind w:end="-36"/>
              <w:jc w:val="end"/>
              <w:rPr>
                <w:rFonts w:ascii="Arial" w:hAnsi="Arial" w:cs="Arial"/>
                <w:sz w:val="20"/>
              </w:rPr>
            </w:pPr>
            <w:r>
              <w:rPr>
                <w:rFonts w:cs="Arial" w:ascii="Arial" w:hAnsi="Arial"/>
                <w:sz w:val="20"/>
              </w:rPr>
              <w:t>4,850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xml:space="preserve">4,850   </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260"/>
        <w:gridCol w:w="72"/>
        <w:gridCol w:w="4338"/>
      </w:tblGrid>
      <w:tr>
        <w:trPr/>
        <w:tc>
          <w:tcPr>
            <w:tcW w:w="4428" w:type="dxa"/>
            <w:tcBorders/>
          </w:tcPr>
          <w:p>
            <w:pPr>
              <w:pStyle w:val="Normal"/>
              <w:snapToGrid w:val="false"/>
              <w:rPr>
                <w:rFonts w:ascii="Arial" w:hAnsi="Arial" w:cs="Arial"/>
                <w:sz w:val="20"/>
              </w:rPr>
            </w:pPr>
            <w:r>
              <w:rPr>
                <w:rFonts w:cs="Arial" w:ascii="Arial" w:hAnsi="Arial"/>
                <w:sz w:val="20"/>
              </w:rPr>
            </w:r>
          </w:p>
        </w:tc>
        <w:tc>
          <w:tcPr>
            <w:tcW w:w="1332" w:type="dxa"/>
            <w:gridSpan w:val="2"/>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Transaction Proceeds</w:t>
            </w:r>
          </w:p>
        </w:tc>
        <w:tc>
          <w:tcPr>
            <w:tcW w:w="1260" w:type="dxa"/>
            <w:tcBorders/>
          </w:tcPr>
          <w:p>
            <w:pPr>
              <w:pStyle w:val="Normal"/>
              <w:ind w:end="-36"/>
              <w:jc w:val="end"/>
              <w:rPr>
                <w:rFonts w:ascii="Arial" w:hAnsi="Arial" w:cs="Arial"/>
                <w:sz w:val="20"/>
              </w:rPr>
            </w:pPr>
            <w:r>
              <w:rPr>
                <w:rFonts w:cs="Arial" w:ascii="Arial" w:hAnsi="Arial"/>
                <w:sz w:val="20"/>
              </w:rPr>
              <w:t>4,850</w:t>
            </w:r>
          </w:p>
        </w:tc>
        <w:tc>
          <w:tcPr>
            <w:tcW w:w="4410" w:type="dxa"/>
            <w:gridSpan w:val="2"/>
            <w:tcBorders/>
          </w:tcPr>
          <w:p>
            <w:pPr>
              <w:pStyle w:val="Normal"/>
              <w:snapToGrid w:val="false"/>
              <w:ind w:end="-36"/>
              <w:rPr>
                <w:rFonts w:ascii="Arial" w:hAnsi="Arial" w:cs="Arial"/>
                <w:sz w:val="18"/>
              </w:rPr>
            </w:pPr>
            <w:r>
              <w:rPr>
                <w:rFonts w:cs="Arial" w:ascii="Arial" w:hAnsi="Arial"/>
                <w:sz w:val="18"/>
              </w:rPr>
            </w:r>
          </w:p>
        </w:tc>
      </w:tr>
      <w:tr>
        <w:trPr/>
        <w:tc>
          <w:tcPr>
            <w:tcW w:w="4428" w:type="dxa"/>
            <w:tcBorders/>
          </w:tcPr>
          <w:p>
            <w:pPr>
              <w:pStyle w:val="Normal"/>
              <w:ind w:end="-36"/>
              <w:rPr>
                <w:rFonts w:ascii="Arial" w:hAnsi="Arial" w:cs="Arial"/>
                <w:sz w:val="20"/>
              </w:rPr>
            </w:pPr>
            <w:r>
              <w:rPr>
                <w:rFonts w:cs="Arial" w:ascii="Arial" w:hAnsi="Arial"/>
                <w:sz w:val="20"/>
              </w:rPr>
              <w:t>Estimated Fair Market Value</w:t>
            </w:r>
          </w:p>
        </w:tc>
        <w:tc>
          <w:tcPr>
            <w:tcW w:w="1260" w:type="dxa"/>
            <w:tcBorders/>
          </w:tcPr>
          <w:p>
            <w:pPr>
              <w:pStyle w:val="Normal"/>
              <w:ind w:end="-36"/>
              <w:jc w:val="end"/>
              <w:rPr>
                <w:rFonts w:ascii="Arial" w:hAnsi="Arial" w:cs="Arial"/>
                <w:sz w:val="20"/>
              </w:rPr>
            </w:pPr>
            <w:r>
              <w:rPr>
                <w:rFonts w:cs="Arial" w:ascii="Arial" w:hAnsi="Arial"/>
                <w:sz w:val="20"/>
              </w:rPr>
              <w:t>4,792</w:t>
            </w:r>
          </w:p>
        </w:tc>
        <w:tc>
          <w:tcPr>
            <w:tcW w:w="4410" w:type="dxa"/>
            <w:gridSpan w:val="2"/>
            <w:tcBorders/>
          </w:tcPr>
          <w:p>
            <w:pPr>
              <w:pStyle w:val="Normal"/>
              <w:snapToGrid w:val="false"/>
              <w:ind w:end="-36"/>
              <w:rPr>
                <w:rFonts w:ascii="Arial" w:hAnsi="Arial" w:cs="Arial"/>
                <w:sz w:val="18"/>
              </w:rPr>
            </w:pPr>
            <w:r>
              <w:rPr>
                <w:rFonts w:cs="Arial" w:ascii="Arial" w:hAnsi="Arial"/>
                <w:sz w:val="18"/>
              </w:rPr>
            </w:r>
          </w:p>
        </w:tc>
      </w:tr>
      <w:tr>
        <w:trPr/>
        <w:tc>
          <w:tcPr>
            <w:tcW w:w="4428" w:type="dxa"/>
            <w:tcBorders/>
          </w:tcPr>
          <w:p>
            <w:pPr>
              <w:pStyle w:val="Normal"/>
              <w:ind w:firstLine="360" w:start="-360" w:end="-36"/>
              <w:rPr>
                <w:rFonts w:ascii="Arial" w:hAnsi="Arial" w:cs="Arial"/>
                <w:sz w:val="20"/>
              </w:rPr>
            </w:pPr>
            <w:r>
              <w:rPr>
                <w:rFonts w:eastAsia="Arial" w:cs="Arial" w:ascii="Arial" w:hAnsi="Arial"/>
                <w:sz w:val="20"/>
              </w:rPr>
              <w:t xml:space="preserve">  </w:t>
            </w:r>
            <w:r>
              <w:rPr>
                <w:rFonts w:cs="Arial" w:ascii="Arial" w:hAnsi="Arial"/>
                <w:sz w:val="20"/>
              </w:rPr>
              <w:t>Net Economic Value to Enron*</w:t>
            </w:r>
          </w:p>
        </w:tc>
        <w:tc>
          <w:tcPr>
            <w:tcW w:w="1260" w:type="dxa"/>
            <w:tcBorders>
              <w:top w:val="single" w:sz="4" w:space="0" w:color="000000"/>
            </w:tcBorders>
          </w:tcPr>
          <w:p>
            <w:pPr>
              <w:pStyle w:val="Normal"/>
              <w:ind w:end="-36"/>
              <w:jc w:val="end"/>
              <w:rPr>
                <w:rFonts w:ascii="Arial" w:hAnsi="Arial" w:cs="Arial"/>
                <w:sz w:val="20"/>
              </w:rPr>
            </w:pPr>
            <w:r>
              <w:rPr>
                <w:rFonts w:cs="Arial" w:ascii="Arial" w:hAnsi="Arial"/>
                <w:sz w:val="20"/>
              </w:rPr>
              <w:t>58</w:t>
            </w:r>
          </w:p>
        </w:tc>
        <w:tc>
          <w:tcPr>
            <w:tcW w:w="4410" w:type="dxa"/>
            <w:gridSpan w:val="2"/>
            <w:tcBorders/>
          </w:tcPr>
          <w:p>
            <w:pPr>
              <w:pStyle w:val="Normal"/>
              <w:snapToGrid w:val="false"/>
              <w:ind w:end="-36"/>
              <w:rPr>
                <w:rFonts w:ascii="Arial" w:hAnsi="Arial" w:cs="Arial"/>
                <w:sz w:val="18"/>
              </w:rPr>
            </w:pPr>
            <w:r>
              <w:rPr>
                <w:rFonts w:cs="Arial" w:ascii="Arial" w:hAnsi="Arial"/>
                <w:sz w:val="18"/>
              </w:rPr>
            </w:r>
          </w:p>
          <w:p>
            <w:pPr>
              <w:pStyle w:val="Normal"/>
              <w:ind w:start="-5688" w:end="-36"/>
              <w:rPr>
                <w:rFonts w:ascii="Arial" w:hAnsi="Arial" w:cs="Arial"/>
                <w:sz w:val="18"/>
              </w:rPr>
            </w:pPr>
            <w:r>
              <w:rPr>
                <w:rFonts w:cs="Arial" w:ascii="Arial" w:hAnsi="Arial"/>
                <w:sz w:val="18"/>
              </w:rPr>
            </w:r>
          </w:p>
        </w:tc>
      </w:tr>
    </w:tbl>
    <w:p>
      <w:pPr>
        <w:pStyle w:val="Normal"/>
        <w:rPr>
          <w:rFonts w:ascii="Arial" w:hAnsi="Arial" w:cs="Arial"/>
          <w:sz w:val="16"/>
        </w:rPr>
      </w:pPr>
      <w:r>
        <w:rPr>
          <w:rFonts w:cs="Arial" w:ascii="Arial" w:hAnsi="Arial"/>
          <w:sz w:val="16"/>
        </w:rPr>
        <w:t xml:space="preserve">* A book gain of $4.421 MM will be recognized since the book value of our interest in this asset is $429,000.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sz w:val="20"/>
        </w:rPr>
      </w:pPr>
      <w:r>
        <w:rPr>
          <w:rFonts w:cs="Arial" w:ascii="Arial" w:hAnsi="Arial"/>
          <w:i/>
          <w:sz w:val="20"/>
        </w:rPr>
      </w:r>
    </w:p>
    <w:p>
      <w:pPr>
        <w:pStyle w:val="Normal"/>
        <w:rPr>
          <w:rFonts w:ascii="Arial" w:hAnsi="Arial" w:cs="Arial"/>
          <w:sz w:val="20"/>
        </w:rPr>
      </w:pPr>
      <w:r>
        <w:rPr>
          <w:rFonts w:cs="Arial" w:ascii="Arial" w:hAnsi="Arial"/>
          <w:sz w:val="20"/>
        </w:rPr>
        <w:t>Enron North America Corp. (“Enron”) proposes to sell a 50% membership interest in Doyle I, L.L.C. (“Doyle”) to Walton Electric Membership Corporation (“Walton”) pursuant to a purchase agreement (“Purchase Agreement”).  Enron holds its 50% interest in Doyle through a wholly owned subsidiary, Power Generation Investco, LLC (“PGI”). Enron developed and constructed a 342 MW natural gas-fired simple cycle power plant located in Walton County, Georgia, which began commercial operations on August 25, 2000 (the “Doyle Plant”).  The Doyle Plant is comprised of five General Electric combustion turbines: three (3) GE 7Bs and two (2) GE 7EAs.  Offtake from the Doyle Plant is purchased by Oglethorpe Power Corporation pursuant to a 15-year contract (with approximately 13.5 years to run).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Walton currently owns the other 50% membership interest in Doyle, and initially purchased this interest in December, 1999. Several parties were contacted regarding the sale of Enron’s 50% membership interest including Walton, Oglethorpe Power Corporation, and two financial institutions.  Walton initially submitted a bid for Enron’s membership interest in the amount of $3.25 million.  Oglethorpe Power declined to bid, and we are still awaiting offers from the two financial institutions. Subsequent negotiations with Walton resulted in an increase of their offer price to $4.85 million.  The Purchase Agreement contemplates (i) the modification of the operations and maintenance agreement between Doyle and Operational Energy Corp. (“OEC”) to allow Doyle to terminate said agreement in consideration for a termination payment of $32,400, and (ii) to the extent Doyle terminates the operations and maintenance agreement with OEC, it shall be required to offer to then current employees of OEC at the Doyle Plant comparable employment positions with comparable benefits and salary (thereby relieving OEC of any severance obligations). It is anticipated that Walton on behalf of Doyle will terminate the operations and maintenance agreement within sixty (60) days after the closing of the sale of the membership interests.  As a separate matter, the right to collect approximately $1 million in proceeds from certain insurance claims will be assigned to by Doyle and Walton to PGI.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 ($000s)</w:t>
      </w:r>
    </w:p>
    <w:tbl>
      <w:tblPr>
        <w:tblW w:w="9814" w:type="dxa"/>
        <w:jc w:val="start"/>
        <w:tblInd w:w="0" w:type="dxa"/>
        <w:tblLayout w:type="fixed"/>
        <w:tblCellMar>
          <w:top w:w="0" w:type="dxa"/>
          <w:start w:w="0" w:type="dxa"/>
          <w:bottom w:w="0" w:type="dxa"/>
          <w:end w:w="0" w:type="dxa"/>
        </w:tblCellMar>
      </w:tblPr>
      <w:tblGrid>
        <w:gridCol w:w="270"/>
        <w:gridCol w:w="3510"/>
        <w:gridCol w:w="1080"/>
        <w:gridCol w:w="540"/>
        <w:gridCol w:w="3060"/>
        <w:gridCol w:w="1080"/>
        <w:gridCol w:w="274"/>
      </w:tblGrid>
      <w:tr>
        <w:trPr/>
        <w:tc>
          <w:tcPr>
            <w:tcW w:w="270" w:type="dxa"/>
            <w:tcBorders/>
          </w:tcPr>
          <w:p>
            <w:pPr>
              <w:pStyle w:val="TableHeading"/>
              <w:rPr>
                <w:i/>
                <w:i/>
              </w:rPr>
            </w:pPr>
            <w:r>
              <w:rPr>
                <w:i/>
              </w:rPr>
            </w:r>
          </w:p>
        </w:tc>
        <w:tc>
          <w:tcPr>
            <w:tcW w:w="3510" w:type="dxa"/>
            <w:tcBorders/>
            <w:tcMar>
              <w:start w:w="108" w:type="dxa"/>
              <w:end w:w="108" w:type="dxa"/>
            </w:tcMar>
          </w:tcPr>
          <w:p>
            <w:pPr>
              <w:pStyle w:val="Normal"/>
              <w:snapToGrid w:val="false"/>
              <w:rPr>
                <w:rFonts w:ascii="Arial" w:hAnsi="Arial" w:cs="Arial"/>
                <w:sz w:val="20"/>
              </w:rPr>
            </w:pPr>
            <w:r>
              <w:rPr>
                <w:rFonts w:cs="Arial" w:ascii="Arial" w:hAnsi="Arial"/>
                <w:sz w:val="20"/>
              </w:rPr>
            </w:r>
          </w:p>
        </w:tc>
        <w:tc>
          <w:tcPr>
            <w:tcW w:w="1080" w:type="dxa"/>
            <w:tcBorders/>
            <w:tcMar>
              <w:start w:w="108" w:type="dxa"/>
              <w:end w:w="108" w:type="dxa"/>
            </w:tcMar>
          </w:tcPr>
          <w:p>
            <w:pPr>
              <w:pStyle w:val="Normal"/>
              <w:jc w:val="end"/>
              <w:rPr>
                <w:rFonts w:ascii="Arial" w:hAnsi="Arial" w:cs="Arial"/>
                <w:sz w:val="20"/>
                <w:u w:val="single"/>
              </w:rPr>
            </w:pPr>
            <w:r>
              <w:rPr>
                <w:rFonts w:cs="Arial" w:ascii="Arial" w:hAnsi="Arial"/>
                <w:sz w:val="20"/>
                <w:u w:val="single"/>
              </w:rPr>
              <w:t>Sources</w:t>
            </w:r>
          </w:p>
        </w:tc>
        <w:tc>
          <w:tcPr>
            <w:tcW w:w="540" w:type="dxa"/>
            <w:tcBorders/>
            <w:tcMar>
              <w:start w:w="108" w:type="dxa"/>
              <w:end w:w="108" w:type="dxa"/>
            </w:tcMar>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Mar>
              <w:start w:w="108" w:type="dxa"/>
              <w:end w:w="108" w:type="dxa"/>
            </w:tcMar>
          </w:tcPr>
          <w:p>
            <w:pPr>
              <w:pStyle w:val="Normal"/>
              <w:snapToGrid w:val="false"/>
              <w:jc w:val="end"/>
              <w:rPr>
                <w:rFonts w:ascii="Arial" w:hAnsi="Arial" w:cs="Arial"/>
                <w:sz w:val="20"/>
                <w:u w:val="single"/>
              </w:rPr>
            </w:pPr>
            <w:r>
              <w:rPr>
                <w:rFonts w:cs="Arial" w:ascii="Arial" w:hAnsi="Arial"/>
                <w:sz w:val="20"/>
                <w:u w:val="single"/>
              </w:rPr>
            </w:r>
          </w:p>
        </w:tc>
        <w:tc>
          <w:tcPr>
            <w:tcW w:w="1080" w:type="dxa"/>
            <w:tcBorders/>
            <w:tcMar>
              <w:start w:w="108" w:type="dxa"/>
              <w:end w:w="108" w:type="dxa"/>
            </w:tcMar>
          </w:tcPr>
          <w:p>
            <w:pPr>
              <w:pStyle w:val="Normal"/>
              <w:jc w:val="end"/>
              <w:rPr>
                <w:rFonts w:ascii="Arial" w:hAnsi="Arial" w:cs="Arial"/>
                <w:sz w:val="20"/>
                <w:u w:val="single"/>
              </w:rPr>
            </w:pPr>
            <w:r>
              <w:rPr>
                <w:rFonts w:cs="Arial" w:ascii="Arial" w:hAnsi="Arial"/>
                <w:sz w:val="20"/>
                <w:u w:val="single"/>
              </w:rPr>
              <w:t>Uses</w:t>
            </w:r>
          </w:p>
        </w:tc>
        <w:tc>
          <w:tcPr>
            <w:tcW w:w="274" w:type="dxa"/>
            <w:tcBorders/>
          </w:tcPr>
          <w:p>
            <w:pPr>
              <w:pStyle w:val="Normal"/>
              <w:snapToGrid w:val="false"/>
              <w:rPr>
                <w:rFonts w:ascii="Arial" w:hAnsi="Arial" w:cs="Arial"/>
                <w:sz w:val="20"/>
                <w:u w:val="single"/>
              </w:rPr>
            </w:pPr>
            <w:r>
              <w:rPr>
                <w:rFonts w:cs="Arial" w:ascii="Arial" w:hAnsi="Arial"/>
                <w:sz w:val="20"/>
                <w:u w:val="single"/>
              </w:rPr>
            </w:r>
          </w:p>
        </w:tc>
      </w:tr>
      <w:tr>
        <w:trPr/>
        <w:tc>
          <w:tcPr>
            <w:tcW w:w="270" w:type="dxa"/>
            <w:tcBorders/>
          </w:tcPr>
          <w:p>
            <w:pPr>
              <w:pStyle w:val="TableContents"/>
              <w:rPr>
                <w:rFonts w:ascii="Arial" w:hAnsi="Arial" w:cs="Arial"/>
                <w:sz w:val="20"/>
              </w:rPr>
            </w:pPr>
            <w:r>
              <w:rPr>
                <w:rFonts w:cs="Arial" w:ascii="Arial" w:hAnsi="Arial"/>
                <w:sz w:val="20"/>
              </w:rPr>
            </w:r>
          </w:p>
        </w:tc>
        <w:tc>
          <w:tcPr>
            <w:tcW w:w="3510" w:type="dxa"/>
            <w:tcBorders/>
            <w:tcMar>
              <w:start w:w="108" w:type="dxa"/>
              <w:end w:w="108" w:type="dxa"/>
            </w:tcMar>
          </w:tcPr>
          <w:p>
            <w:pPr>
              <w:pStyle w:val="Normal"/>
              <w:snapToGrid w:val="false"/>
              <w:rPr>
                <w:rFonts w:ascii="Arial" w:hAnsi="Arial" w:cs="Arial"/>
                <w:sz w:val="12"/>
              </w:rPr>
            </w:pPr>
            <w:r>
              <w:rPr>
                <w:rFonts w:cs="Arial" w:ascii="Arial" w:hAnsi="Arial"/>
                <w:sz w:val="12"/>
              </w:rPr>
            </w:r>
          </w:p>
        </w:tc>
        <w:tc>
          <w:tcPr>
            <w:tcW w:w="1080" w:type="dxa"/>
            <w:tcBorders/>
            <w:tcMar>
              <w:start w:w="108" w:type="dxa"/>
              <w:end w:w="108" w:type="dxa"/>
            </w:tcMar>
          </w:tcPr>
          <w:p>
            <w:pPr>
              <w:pStyle w:val="Normal"/>
              <w:snapToGrid w:val="false"/>
              <w:jc w:val="end"/>
              <w:rPr>
                <w:rFonts w:ascii="Arial" w:hAnsi="Arial" w:cs="Arial"/>
                <w:sz w:val="12"/>
              </w:rPr>
            </w:pPr>
            <w:r>
              <w:rPr>
                <w:rFonts w:cs="Arial" w:ascii="Arial" w:hAnsi="Arial"/>
                <w:sz w:val="12"/>
              </w:rPr>
            </w:r>
          </w:p>
        </w:tc>
        <w:tc>
          <w:tcPr>
            <w:tcW w:w="540" w:type="dxa"/>
            <w:tcBorders/>
            <w:tcMar>
              <w:start w:w="108" w:type="dxa"/>
              <w:end w:w="108" w:type="dxa"/>
            </w:tcMar>
          </w:tcPr>
          <w:p>
            <w:pPr>
              <w:pStyle w:val="Normal"/>
              <w:snapToGrid w:val="false"/>
              <w:rPr>
                <w:rFonts w:ascii="Arial" w:hAnsi="Arial" w:cs="Arial"/>
                <w:sz w:val="12"/>
              </w:rPr>
            </w:pPr>
            <w:r>
              <w:rPr>
                <w:rFonts w:cs="Arial" w:ascii="Arial" w:hAnsi="Arial"/>
                <w:sz w:val="12"/>
              </w:rPr>
            </w:r>
          </w:p>
        </w:tc>
        <w:tc>
          <w:tcPr>
            <w:tcW w:w="3060" w:type="dxa"/>
            <w:tcBorders/>
            <w:tcMar>
              <w:start w:w="108" w:type="dxa"/>
              <w:end w:w="108" w:type="dxa"/>
            </w:tcMar>
          </w:tcPr>
          <w:p>
            <w:pPr>
              <w:pStyle w:val="Header"/>
              <w:widowControl/>
              <w:tabs>
                <w:tab w:val="clear" w:pos="4320"/>
                <w:tab w:val="clear" w:pos="8640"/>
              </w:tabs>
              <w:snapToGrid w:val="false"/>
              <w:rPr>
                <w:rFonts w:ascii="Arial" w:hAnsi="Arial" w:cs="Arial"/>
                <w:sz w:val="12"/>
              </w:rPr>
            </w:pPr>
            <w:r>
              <w:rPr>
                <w:rFonts w:cs="Arial" w:ascii="Arial" w:hAnsi="Arial"/>
                <w:sz w:val="12"/>
              </w:rPr>
            </w:r>
          </w:p>
        </w:tc>
        <w:tc>
          <w:tcPr>
            <w:tcW w:w="1080" w:type="dxa"/>
            <w:tcBorders/>
            <w:tcMar>
              <w:start w:w="108" w:type="dxa"/>
              <w:end w:w="108" w:type="dxa"/>
            </w:tcMar>
          </w:tcPr>
          <w:p>
            <w:pPr>
              <w:pStyle w:val="Normal"/>
              <w:snapToGrid w:val="false"/>
              <w:jc w:val="end"/>
              <w:rPr>
                <w:rFonts w:ascii="Arial" w:hAnsi="Arial" w:cs="Arial"/>
                <w:sz w:val="12"/>
              </w:rPr>
            </w:pPr>
            <w:r>
              <w:rPr>
                <w:rFonts w:cs="Arial" w:ascii="Arial" w:hAnsi="Arial"/>
                <w:sz w:val="12"/>
              </w:rPr>
            </w:r>
          </w:p>
        </w:tc>
        <w:tc>
          <w:tcPr>
            <w:tcW w:w="274" w:type="dxa"/>
            <w:tcBorders/>
          </w:tcPr>
          <w:p>
            <w:pPr>
              <w:pStyle w:val="Normal"/>
              <w:snapToGrid w:val="false"/>
              <w:rPr>
                <w:rFonts w:ascii="Arial" w:hAnsi="Arial" w:cs="Arial"/>
                <w:sz w:val="12"/>
              </w:rPr>
            </w:pPr>
            <w:r>
              <w:rPr>
                <w:rFonts w:cs="Arial" w:ascii="Arial" w:hAnsi="Arial"/>
                <w:sz w:val="12"/>
              </w:rPr>
            </w:r>
          </w:p>
        </w:tc>
      </w:tr>
      <w:tr>
        <w:trPr/>
        <w:tc>
          <w:tcPr>
            <w:tcW w:w="270" w:type="dxa"/>
            <w:tcBorders/>
          </w:tcPr>
          <w:p>
            <w:pPr>
              <w:pStyle w:val="TableContents"/>
              <w:rPr>
                <w:rFonts w:ascii="Arial" w:hAnsi="Arial" w:cs="Arial"/>
                <w:sz w:val="12"/>
              </w:rPr>
            </w:pPr>
            <w:r>
              <w:rPr>
                <w:rFonts w:cs="Arial" w:ascii="Arial" w:hAnsi="Arial"/>
                <w:sz w:val="12"/>
              </w:rPr>
            </w:r>
          </w:p>
        </w:tc>
        <w:tc>
          <w:tcPr>
            <w:tcW w:w="3510" w:type="dxa"/>
            <w:tcBorders/>
            <w:tcMar>
              <w:start w:w="108" w:type="dxa"/>
              <w:end w:w="108" w:type="dxa"/>
            </w:tcMar>
          </w:tcPr>
          <w:p>
            <w:pPr>
              <w:pStyle w:val="Normal"/>
              <w:rPr>
                <w:rFonts w:ascii="Arial" w:hAnsi="Arial" w:cs="Arial"/>
                <w:sz w:val="20"/>
              </w:rPr>
            </w:pPr>
            <w:r>
              <w:rPr>
                <w:rFonts w:cs="Arial" w:ascii="Arial" w:hAnsi="Arial"/>
                <w:sz w:val="20"/>
              </w:rPr>
              <w:t>Sale Price</w:t>
            </w:r>
          </w:p>
        </w:tc>
        <w:tc>
          <w:tcPr>
            <w:tcW w:w="1080" w:type="dxa"/>
            <w:tcBorders/>
            <w:tcMar>
              <w:start w:w="108" w:type="dxa"/>
              <w:end w:w="108" w:type="dxa"/>
            </w:tcMar>
          </w:tcPr>
          <w:p>
            <w:pPr>
              <w:pStyle w:val="Normal"/>
              <w:jc w:val="end"/>
              <w:rPr>
                <w:rFonts w:ascii="Arial" w:hAnsi="Arial" w:cs="Arial"/>
                <w:sz w:val="20"/>
              </w:rPr>
            </w:pPr>
            <w:r>
              <w:rPr>
                <w:rFonts w:cs="Arial" w:ascii="Arial" w:hAnsi="Arial"/>
                <w:sz w:val="20"/>
              </w:rPr>
              <w:t>4,850.0</w:t>
            </w:r>
          </w:p>
        </w:tc>
        <w:tc>
          <w:tcPr>
            <w:tcW w:w="540" w:type="dxa"/>
            <w:tcBorders/>
            <w:tcMar>
              <w:start w:w="108" w:type="dxa"/>
              <w:end w:w="108" w:type="dxa"/>
            </w:tcMar>
          </w:tcPr>
          <w:p>
            <w:pPr>
              <w:pStyle w:val="Normal"/>
              <w:snapToGrid w:val="false"/>
              <w:rPr>
                <w:rFonts w:ascii="Arial" w:hAnsi="Arial" w:cs="Arial"/>
                <w:sz w:val="20"/>
              </w:rPr>
            </w:pPr>
            <w:r>
              <w:rPr>
                <w:rFonts w:cs="Arial" w:ascii="Arial" w:hAnsi="Arial"/>
                <w:sz w:val="20"/>
              </w:rPr>
            </w:r>
          </w:p>
        </w:tc>
        <w:tc>
          <w:tcPr>
            <w:tcW w:w="3060" w:type="dxa"/>
            <w:tcBorders/>
            <w:tcMar>
              <w:start w:w="108" w:type="dxa"/>
              <w:end w:w="108" w:type="dxa"/>
            </w:tcMar>
          </w:tcPr>
          <w:p>
            <w:pPr>
              <w:pStyle w:val="Header"/>
              <w:widowControl/>
              <w:tabs>
                <w:tab w:val="clear" w:pos="4320"/>
                <w:tab w:val="clear" w:pos="8640"/>
              </w:tabs>
              <w:rPr>
                <w:rFonts w:ascii="Arial" w:hAnsi="Arial" w:cs="Arial"/>
              </w:rPr>
            </w:pPr>
            <w:r>
              <w:rPr>
                <w:rFonts w:cs="Arial" w:ascii="Arial" w:hAnsi="Arial"/>
              </w:rPr>
              <w:t>Basis in Doyle</w:t>
            </w:r>
          </w:p>
        </w:tc>
        <w:tc>
          <w:tcPr>
            <w:tcW w:w="1080" w:type="dxa"/>
            <w:tcBorders/>
            <w:tcMar>
              <w:start w:w="108" w:type="dxa"/>
              <w:end w:w="108" w:type="dxa"/>
            </w:tcMar>
          </w:tcPr>
          <w:p>
            <w:pPr>
              <w:pStyle w:val="Normal"/>
              <w:jc w:val="end"/>
              <w:rPr>
                <w:rFonts w:ascii="Arial" w:hAnsi="Arial" w:cs="Arial"/>
                <w:sz w:val="20"/>
              </w:rPr>
            </w:pPr>
            <w:r>
              <w:rPr>
                <w:rFonts w:cs="Arial" w:ascii="Arial" w:hAnsi="Arial"/>
                <w:sz w:val="20"/>
              </w:rPr>
              <w:t>428.7</w:t>
            </w:r>
          </w:p>
        </w:tc>
        <w:tc>
          <w:tcPr>
            <w:tcW w:w="274" w:type="dxa"/>
            <w:tcBorders/>
          </w:tcPr>
          <w:p>
            <w:pPr>
              <w:pStyle w:val="Normal"/>
              <w:snapToGrid w:val="false"/>
              <w:rPr>
                <w:rFonts w:ascii="Arial" w:hAnsi="Arial" w:cs="Arial"/>
                <w:sz w:val="20"/>
              </w:rPr>
            </w:pPr>
            <w:r>
              <w:rPr>
                <w:rFonts w:cs="Arial" w:ascii="Arial" w:hAnsi="Arial"/>
                <w:sz w:val="20"/>
              </w:rPr>
            </w:r>
          </w:p>
        </w:tc>
      </w:tr>
      <w:tr>
        <w:trPr/>
        <w:tc>
          <w:tcPr>
            <w:tcW w:w="270" w:type="dxa"/>
            <w:tcBorders/>
          </w:tcPr>
          <w:p>
            <w:pPr>
              <w:pStyle w:val="TableContents"/>
              <w:rPr>
                <w:rFonts w:ascii="Arial" w:hAnsi="Arial" w:cs="Arial"/>
                <w:sz w:val="20"/>
              </w:rPr>
            </w:pPr>
            <w:r>
              <w:rPr>
                <w:rFonts w:cs="Arial" w:ascii="Arial" w:hAnsi="Arial"/>
                <w:sz w:val="20"/>
              </w:rPr>
            </w:r>
          </w:p>
        </w:tc>
        <w:tc>
          <w:tcPr>
            <w:tcW w:w="3510" w:type="dxa"/>
            <w:tcBorders/>
            <w:tcMar>
              <w:start w:w="108" w:type="dxa"/>
              <w:end w:w="108" w:type="dxa"/>
            </w:tcMar>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Mar>
              <w:start w:w="108" w:type="dxa"/>
              <w:end w:w="108" w:type="dxa"/>
            </w:tcMar>
          </w:tcPr>
          <w:p>
            <w:pPr>
              <w:pStyle w:val="Normal"/>
              <w:snapToGrid w:val="false"/>
              <w:jc w:val="end"/>
              <w:rPr>
                <w:rFonts w:ascii="Arial" w:hAnsi="Arial" w:cs="Arial"/>
                <w:sz w:val="20"/>
              </w:rPr>
            </w:pPr>
            <w:r>
              <w:rPr>
                <w:rFonts w:cs="Arial" w:ascii="Arial" w:hAnsi="Arial"/>
                <w:sz w:val="20"/>
              </w:rPr>
            </w:r>
          </w:p>
        </w:tc>
        <w:tc>
          <w:tcPr>
            <w:tcW w:w="540" w:type="dxa"/>
            <w:tcBorders/>
            <w:tcMar>
              <w:start w:w="108" w:type="dxa"/>
              <w:end w:w="108" w:type="dxa"/>
            </w:tcMar>
          </w:tcPr>
          <w:p>
            <w:pPr>
              <w:pStyle w:val="Normal"/>
              <w:snapToGrid w:val="false"/>
              <w:rPr>
                <w:rFonts w:ascii="Arial" w:hAnsi="Arial" w:cs="Arial"/>
                <w:sz w:val="20"/>
              </w:rPr>
            </w:pPr>
            <w:r>
              <w:rPr>
                <w:rFonts w:cs="Arial" w:ascii="Arial" w:hAnsi="Arial"/>
                <w:sz w:val="20"/>
              </w:rPr>
            </w:r>
          </w:p>
        </w:tc>
        <w:tc>
          <w:tcPr>
            <w:tcW w:w="3060" w:type="dxa"/>
            <w:tcBorders/>
            <w:tcMar>
              <w:start w:w="108" w:type="dxa"/>
              <w:end w:w="108" w:type="dxa"/>
            </w:tcMar>
          </w:tcPr>
          <w:p>
            <w:pPr>
              <w:pStyle w:val="Header"/>
              <w:widowControl/>
              <w:tabs>
                <w:tab w:val="clear" w:pos="4320"/>
                <w:tab w:val="clear" w:pos="8640"/>
              </w:tabs>
              <w:rPr>
                <w:rFonts w:ascii="Arial" w:hAnsi="Arial" w:cs="Arial"/>
              </w:rPr>
            </w:pPr>
            <w:r>
              <w:rPr>
                <w:rFonts w:cs="Arial" w:ascii="Arial" w:hAnsi="Arial"/>
              </w:rPr>
              <w:t>Gain on Sale</w:t>
            </w:r>
          </w:p>
        </w:tc>
        <w:tc>
          <w:tcPr>
            <w:tcW w:w="1080" w:type="dxa"/>
            <w:tcBorders/>
            <w:tcMar>
              <w:start w:w="108" w:type="dxa"/>
              <w:end w:w="108" w:type="dxa"/>
            </w:tcMar>
          </w:tcPr>
          <w:p>
            <w:pPr>
              <w:pStyle w:val="Normal"/>
              <w:jc w:val="end"/>
              <w:rPr>
                <w:rFonts w:ascii="Arial" w:hAnsi="Arial" w:cs="Arial"/>
                <w:sz w:val="20"/>
              </w:rPr>
            </w:pPr>
            <w:r>
              <w:rPr>
                <w:rFonts w:cs="Arial" w:ascii="Arial" w:hAnsi="Arial"/>
                <w:sz w:val="20"/>
              </w:rPr>
              <w:t>4,421.3</w:t>
            </w:r>
          </w:p>
        </w:tc>
        <w:tc>
          <w:tcPr>
            <w:tcW w:w="274" w:type="dxa"/>
            <w:tcBorders/>
          </w:tcPr>
          <w:p>
            <w:pPr>
              <w:pStyle w:val="Normal"/>
              <w:snapToGrid w:val="false"/>
              <w:rPr>
                <w:rFonts w:ascii="Arial" w:hAnsi="Arial" w:cs="Arial"/>
                <w:sz w:val="20"/>
              </w:rPr>
            </w:pPr>
            <w:r>
              <w:rPr>
                <w:rFonts w:cs="Arial" w:ascii="Arial" w:hAnsi="Arial"/>
                <w:sz w:val="20"/>
              </w:rPr>
            </w:r>
          </w:p>
        </w:tc>
      </w:tr>
      <w:tr>
        <w:trPr/>
        <w:tc>
          <w:tcPr>
            <w:tcW w:w="270" w:type="dxa"/>
            <w:tcBorders/>
          </w:tcPr>
          <w:p>
            <w:pPr>
              <w:pStyle w:val="TableContents"/>
              <w:rPr>
                <w:rFonts w:ascii="Arial" w:hAnsi="Arial" w:cs="Arial"/>
                <w:sz w:val="20"/>
              </w:rPr>
            </w:pPr>
            <w:r>
              <w:rPr>
                <w:rFonts w:cs="Arial" w:ascii="Arial" w:hAnsi="Arial"/>
                <w:sz w:val="20"/>
              </w:rPr>
            </w:r>
          </w:p>
        </w:tc>
        <w:tc>
          <w:tcPr>
            <w:tcW w:w="3510" w:type="dxa"/>
            <w:tcBorders/>
            <w:tcMar>
              <w:start w:w="108" w:type="dxa"/>
              <w:end w:w="108" w:type="dxa"/>
            </w:tcMar>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Mar>
              <w:start w:w="108" w:type="dxa"/>
              <w:end w:w="108" w:type="dxa"/>
            </w:tcMar>
          </w:tcPr>
          <w:p>
            <w:pPr>
              <w:pStyle w:val="Normal"/>
              <w:jc w:val="end"/>
              <w:rPr>
                <w:rFonts w:ascii="Arial" w:hAnsi="Arial" w:cs="Arial"/>
                <w:sz w:val="20"/>
              </w:rPr>
            </w:pPr>
            <w:r>
              <w:rPr>
                <w:rFonts w:cs="Arial" w:ascii="Arial" w:hAnsi="Arial"/>
                <w:sz w:val="20"/>
              </w:rPr>
              <w:t>$4,850.0</w:t>
            </w:r>
          </w:p>
        </w:tc>
        <w:tc>
          <w:tcPr>
            <w:tcW w:w="540" w:type="dxa"/>
            <w:tcBorders/>
            <w:tcMar>
              <w:start w:w="108" w:type="dxa"/>
              <w:end w:w="108" w:type="dxa"/>
            </w:tcMar>
          </w:tcPr>
          <w:p>
            <w:pPr>
              <w:pStyle w:val="Normal"/>
              <w:snapToGrid w:val="false"/>
              <w:rPr>
                <w:rFonts w:ascii="Arial" w:hAnsi="Arial" w:cs="Arial"/>
                <w:sz w:val="20"/>
              </w:rPr>
            </w:pPr>
            <w:r>
              <w:rPr>
                <w:rFonts w:cs="Arial" w:ascii="Arial" w:hAnsi="Arial"/>
                <w:sz w:val="20"/>
              </w:rPr>
            </w:r>
          </w:p>
        </w:tc>
        <w:tc>
          <w:tcPr>
            <w:tcW w:w="3060" w:type="dxa"/>
            <w:tcBorders/>
            <w:tcMar>
              <w:start w:w="108" w:type="dxa"/>
              <w:end w:w="108" w:type="dxa"/>
            </w:tcMar>
          </w:tcPr>
          <w:p>
            <w:pPr>
              <w:pStyle w:val="Normal"/>
              <w:snapToGrid w:val="false"/>
              <w:jc w:val="end"/>
              <w:rPr>
                <w:rFonts w:ascii="Arial" w:hAnsi="Arial" w:cs="Arial"/>
                <w:sz w:val="20"/>
              </w:rPr>
            </w:pPr>
            <w:r>
              <w:rPr>
                <w:rFonts w:cs="Arial" w:ascii="Arial" w:hAnsi="Arial"/>
                <w:sz w:val="20"/>
              </w:rPr>
            </w:r>
          </w:p>
        </w:tc>
        <w:tc>
          <w:tcPr>
            <w:tcW w:w="1080" w:type="dxa"/>
            <w:tcBorders>
              <w:top w:val="single" w:sz="6" w:space="0" w:color="000000"/>
            </w:tcBorders>
            <w:tcMar>
              <w:start w:w="108" w:type="dxa"/>
              <w:end w:w="108" w:type="dxa"/>
            </w:tcMar>
          </w:tcPr>
          <w:p>
            <w:pPr>
              <w:pStyle w:val="Normal"/>
              <w:jc w:val="end"/>
              <w:rPr>
                <w:rFonts w:ascii="Arial" w:hAnsi="Arial" w:cs="Arial"/>
                <w:sz w:val="20"/>
              </w:rPr>
            </w:pPr>
            <w:r>
              <w:rPr>
                <w:rFonts w:cs="Arial" w:ascii="Arial" w:hAnsi="Arial"/>
                <w:sz w:val="20"/>
              </w:rPr>
              <w:t>$4,850.0</w:t>
            </w:r>
          </w:p>
        </w:tc>
        <w:tc>
          <w:tcPr>
            <w:tcW w:w="274" w:type="dxa"/>
            <w:tcBorders/>
          </w:tcPr>
          <w:p>
            <w:pPr>
              <w:pStyle w:val="Normal"/>
              <w:snapToGrid w:val="false"/>
              <w:rPr>
                <w:rFonts w:ascii="Arial" w:hAnsi="Arial" w:cs="Arial"/>
                <w:sz w:val="20"/>
              </w:rPr>
            </w:pPr>
            <w:r>
              <w:rPr>
                <w:rFonts w:cs="Arial" w:ascii="Arial" w:hAnsi="Arial"/>
                <w:sz w:val="20"/>
              </w:rPr>
            </w:r>
          </w:p>
        </w:tc>
      </w:tr>
      <w:tr>
        <w:trPr>
          <w:trHeight w:val="342" w:hRule="atLeast"/>
        </w:trPr>
        <w:tc>
          <w:tcPr>
            <w:tcW w:w="5400" w:type="dxa"/>
            <w:gridSpan w:val="4"/>
            <w:tcBorders/>
            <w:tcMar>
              <w:start w:w="108" w:type="dxa"/>
              <w:end w:w="108" w:type="dxa"/>
            </w:tcMar>
          </w:tcPr>
          <w:p>
            <w:pPr>
              <w:pStyle w:val="Heading7"/>
              <w:rPr/>
            </w:pPr>
            <w:r>
              <w:rPr/>
              <w:t>RETURN SUMMARY</w:t>
            </w:r>
          </w:p>
        </w:tc>
        <w:tc>
          <w:tcPr>
            <w:tcW w:w="4414" w:type="dxa"/>
            <w:gridSpan w:val="3"/>
            <w:tcBorders/>
            <w:tcMar>
              <w:start w:w="108" w:type="dxa"/>
              <w:end w:w="108" w:type="dxa"/>
            </w:tcMar>
          </w:tcPr>
          <w:p>
            <w:pPr>
              <w:pStyle w:val="Normal"/>
              <w:snapToGrid w:val="false"/>
              <w:jc w:val="end"/>
              <w:rPr>
                <w:rFonts w:ascii="Arial" w:hAnsi="Arial" w:cs="Arial"/>
                <w:sz w:val="20"/>
              </w:rPr>
            </w:pPr>
            <w:r>
              <w:rPr>
                <w:rFonts w:cs="Arial" w:ascii="Arial" w:hAnsi="Arial"/>
                <w:sz w:val="20"/>
              </w:rPr>
            </w:r>
          </w:p>
        </w:tc>
      </w:tr>
    </w:tbl>
    <w:p>
      <w:pPr>
        <w:pStyle w:val="BodyText"/>
        <w:rPr/>
      </w:pPr>
      <w:r>
        <w:rPr/>
        <w:t>Based on Enron’s detailed cash flow valuation model of its interest in Doyle, the purchase price of $4,850,000 is equivalent to an approximate 10% pre-tax internal rate of return (on a levered basis). Based on this valuation and the waiver and release described below, it is believed that Walton’s proposed purchase price represents the best alternative for Enron to exit from Doyle.</w:t>
      </w:r>
    </w:p>
    <w:p>
      <w:pPr>
        <w:pStyle w:val="BodyText"/>
        <w:rPr>
          <w:rFonts w:eastAsia="Arial"/>
        </w:rPr>
      </w:pPr>
      <w:r>
        <w:rPr>
          <w:rFonts w:eastAsia="Arial"/>
        </w:rPr>
        <w:t xml:space="preserve"> </w:t>
      </w:r>
    </w:p>
    <w:p>
      <w:pPr>
        <w:pStyle w:val="BodyText"/>
        <w:rPr/>
      </w:pPr>
      <w:r>
        <w:rPr/>
        <w:t>The capital account associated with our investment in Doyle is $428,694 as of September 30, 2001.  As a result, the $4,850,000 sale price (not including anticipated future insurance proceeds as described below) will result in income of  $4,421,306.  The capital account amount and the resulting income from the sale reflects OEC’s agreement to receive amounts it is owed totaling $600,360 from insurance proceeds as and when they are received by Enron. The resulting income also reflects the agreement by NEPCO to waive any current or past due amounts it may be owed by Enron related to the Doyle Plant.</w:t>
      </w:r>
    </w:p>
    <w:p>
      <w:pPr>
        <w:pStyle w:val="BodyText"/>
        <w:rPr/>
      </w:pPr>
      <w:r>
        <w:rPr/>
      </w:r>
    </w:p>
    <w:p>
      <w:pPr>
        <w:pStyle w:val="Heading2"/>
        <w:widowControl/>
        <w:pBdr>
          <w:top w:val="single" w:sz="8" w:space="1" w:color="000000"/>
        </w:pBdr>
        <w:ind w:hanging="0" w:start="0" w:end="-36"/>
        <w:rPr>
          <w:rFonts w:ascii="Arial" w:hAnsi="Arial" w:cs="Arial"/>
          <w:i w:val="false"/>
          <w:i w:val="false"/>
          <w:iCs/>
        </w:rPr>
      </w:pPr>
      <w:r>
        <w:rPr>
          <w:rFonts w:cs="Arial" w:ascii="Arial" w:hAnsi="Arial"/>
          <w:i w:val="false"/>
          <w:iCs/>
        </w:rPr>
        <w:t xml:space="preserve">RISK MATRIX </w:t>
      </w:r>
    </w:p>
    <w:p>
      <w:pPr>
        <w:pStyle w:val="Header"/>
        <w:widowControl/>
        <w:tabs>
          <w:tab w:val="clear" w:pos="4320"/>
          <w:tab w:val="clear" w:pos="8640"/>
        </w:tabs>
        <w:rPr>
          <w:rFonts w:ascii="Arial" w:hAnsi="Arial" w:cs="Arial"/>
          <w:i/>
          <w:i/>
          <w:iCs/>
        </w:rPr>
      </w:pPr>
      <w:r>
        <w:rPr>
          <w:rFonts w:cs="Arial" w:ascii="Arial" w:hAnsi="Arial"/>
          <w:i/>
          <w:iCs/>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 (Claims)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In the Purchase Agreement, Enron does not undertake any significant post-closing obligations and makes no material commercial representations other than that, to the actual knowledge of a specific Enron employee, the technical manuals provided to Enron by the third party vendor who refurbished the used turbines and equipment incorporated into the Facility do not contain any untrue statement of material fact that would have a material adverse effect on Doyle.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risk of any post-closing claim by the Doyle buyer is mitigated by (a) Purchase Agreement provisions limiting the survival of most Enron representations to two years and (b) the Release and Indemnity Agreement to be executed at the closing. The Release and Indemnity Agreement will unconditionally release Enron and its affiliates from any and all claims and liabilities arising prior to, on or following the closing date of this transaction, under or in connection with (a) any contracts between Enron (or its affiliates), Walton and Doyle other than the Purchase Agreement, O&amp;M Agreement, Assignment of Insurance Proceeds, and Release and Indemnity Agreement itself (the “Excluded Agreements”), and (b) Enron’s ownership of and membership in Doyle. Enron and its affiliates are not released from claims arising under the Excluded Agreements or in connection with violations of law and liabilities incurred by Doyle as a result of undisclosed and/or unauthorized actions of Enron. Enron has further proposed that its liability under the Purchase Agreement for all causes be limited to $2 million.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Pursuant to the Assignment of Insurance Proceeds to be executed contemporaneously with the Purchase Agreement, PGI will retain rights to any proceeds owed from pending insurance claims associated with two separate maintenance events at the Doyle Plant. Enron was responsible for repairs related to these maintenance events through the construction contract for the Doyle Plant, and has received $2 million thus far from its insurance carrier. It expects to receive an additional $1 million within the next several months.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Walton’s payment for this transaction will be made within three days of the effective date of the Purchase Agreement. Enron would be required to refund the Purchase Price plus accrued interest (at an annual rate of approx. 3%) if the transaction fails to close.  Enron’s credit exposure to Walton post-closing generally is limited to potential claims arising under usual indemnity obligations regarding breaches of representations and similar matters under the Purchase Agreement and the narrow matters not released under the Release and Indemnity Agreement. Although Enron has proposed that its liability be limited to $2 million, these exposures are not currently capped.  The likelihood of occurrence and magnitude of exposure are low.  Walton’s current credit E-rating is a 7 (equivalent to BB/Ba2) based on weak position, debt obligations and limited access to capital.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Regulatory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Subsequent to the execution of this DASH, the Purchase Agreement, and other agreements related to this transaction, the sale of Enron’s membership interest will be subject to FERC approval under Section 203 of the Federal Power Act. This is a joint filing between Enron and Walton and a request for such approval will be filed simultaneously with the execution of the Purchase Agreement.  According to government affairs and outside counsel, FERC approval will be obtainable no sooner than 23 days after the filing date, which is currently slated for October 11, 2001. Requests to expedite the filing will be made. Should this FERC approval not be received by December 28, 2001, the Purchase Agreement will be terminable by either Enron or Walton.</w:t>
            </w:r>
            <w:r>
              <w:rPr/>
              <w:t xml:space="preserve"> </w:t>
            </w:r>
          </w:p>
          <w:p>
            <w:pPr>
              <w:pStyle w:val="Normal"/>
              <w:jc w:val="both"/>
              <w:rPr/>
            </w:pPr>
            <w:r>
              <w:rPr/>
            </w:r>
          </w:p>
          <w:p>
            <w:pPr>
              <w:pStyle w:val="Normal"/>
              <w:jc w:val="both"/>
              <w:rPr>
                <w:rFonts w:ascii="Arial" w:hAnsi="Arial" w:cs="Arial"/>
                <w:sz w:val="20"/>
              </w:rPr>
            </w:pPr>
            <w:r>
              <w:rPr>
                <w:rFonts w:cs="Arial" w:ascii="Arial" w:hAnsi="Arial"/>
                <w:sz w:val="20"/>
              </w:rPr>
              <w:t xml:space="preserve">Under the Hart Scott Rodino Act, Walton bears the burden of determining whether any filing is required under that act. We will leave that determination solely to them, since our legal counsel is of the view that there are good faith arguments to support not filing.  If Walton determines that a filing is required, a filing will be made.  </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Header"/>
        <w:widowControl/>
        <w:tabs>
          <w:tab w:val="clear" w:pos="4320"/>
          <w:tab w:val="clear" w:pos="8640"/>
          <w:tab w:val="left" w:pos="360" w:leader="none"/>
        </w:tabs>
        <w:rPr>
          <w:rFonts w:ascii="Arial" w:hAnsi="Arial" w:cs="Arial"/>
        </w:rPr>
      </w:pPr>
      <w:r>
        <w:rPr>
          <w:rFonts w:cs="Arial" w:ascii="Arial" w:hAnsi="Arial"/>
        </w:rPr>
        <w:t xml:space="preserve">Walton is expected to terminate OEC as operator and will be required under the Purchase Agreement to make offers of employment to all of the personnel at the Doyle Facility at such salary, title and benefit levels in place at the termination date.  This will allow OEC to avoid severance costs.  </w:t>
      </w:r>
    </w:p>
    <w:p>
      <w:pPr>
        <w:pStyle w:val="Header"/>
        <w:widowControl/>
        <w:tabs>
          <w:tab w:val="clear" w:pos="4320"/>
          <w:tab w:val="clear" w:pos="8640"/>
          <w:tab w:val="left" w:pos="360" w:leader="none"/>
        </w:tabs>
        <w:rPr>
          <w:rFonts w:ascii="Arial" w:hAnsi="Arial" w:cs="Arial"/>
        </w:rPr>
      </w:pPr>
      <w:r>
        <w:rPr>
          <w:rFonts w:cs="Arial" w:ascii="Arial" w:hAnsi="Arial"/>
        </w:rPr>
      </w:r>
    </w:p>
    <w:p>
      <w:pPr>
        <w:pStyle w:val="Header"/>
        <w:widowControl/>
        <w:tabs>
          <w:tab w:val="clear" w:pos="4320"/>
          <w:tab w:val="clear" w:pos="8640"/>
          <w:tab w:val="left" w:pos="360" w:leader="none"/>
        </w:tabs>
        <w:rPr>
          <w:rFonts w:ascii="Arial" w:hAnsi="Arial" w:cs="Arial"/>
        </w:rPr>
      </w:pPr>
      <w:r>
        <w:rPr>
          <w:rFonts w:cs="Arial" w:ascii="Arial" w:hAnsi="Arial"/>
        </w:rPr>
        <w:t xml:space="preserve">Enron currently has a gas agreement with Oglethorpe Power Corporation that is separate from this transaction; this transaction does not impact the gas agreement between Enron and Oglethorpe.   </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numPr>
          <w:ilvl w:val="0"/>
          <w:numId w:val="3"/>
        </w:numPr>
        <w:rPr>
          <w:rFonts w:ascii="Arial" w:hAnsi="Arial" w:cs="Arial"/>
          <w:sz w:val="20"/>
        </w:rPr>
      </w:pPr>
      <w:r>
        <w:rPr>
          <w:rFonts w:cs="Arial" w:ascii="Arial" w:hAnsi="Arial"/>
          <w:sz w:val="20"/>
        </w:rPr>
        <w:t>RAC Review of LLC Interest Purchase Agreement and other associated documents.</w:t>
      </w:r>
    </w:p>
    <w:p>
      <w:pPr>
        <w:pStyle w:val="Normal"/>
        <w:numPr>
          <w:ilvl w:val="0"/>
          <w:numId w:val="3"/>
        </w:numPr>
        <w:rPr>
          <w:rFonts w:ascii="Arial" w:hAnsi="Arial" w:cs="Arial"/>
          <w:sz w:val="20"/>
        </w:rPr>
      </w:pPr>
      <w:r>
        <w:rPr>
          <w:rFonts w:cs="Arial" w:ascii="Arial" w:hAnsi="Arial"/>
          <w:sz w:val="20"/>
        </w:rPr>
        <w:t>FERC approval under Section 203 of the Federal Power Act</w:t>
      </w:r>
    </w:p>
    <w:p>
      <w:pPr>
        <w:pStyle w:val="Normal"/>
        <w:numPr>
          <w:ilvl w:val="0"/>
          <w:numId w:val="3"/>
        </w:numPr>
        <w:rPr>
          <w:rFonts w:ascii="Arial" w:hAnsi="Arial" w:cs="Arial"/>
          <w:sz w:val="20"/>
        </w:rPr>
      </w:pPr>
      <w:r>
        <w:rPr>
          <w:rFonts w:cs="Arial" w:ascii="Arial" w:hAnsi="Arial"/>
          <w:sz w:val="20"/>
        </w:rPr>
        <w:t>Possible HSR filing and expiration of required waiting period</w:t>
      </w:r>
    </w:p>
    <w:p>
      <w:pPr>
        <w:pStyle w:val="Normal"/>
        <w:numPr>
          <w:ilvl w:val="0"/>
          <w:numId w:val="3"/>
        </w:numPr>
        <w:rPr>
          <w:rFonts w:ascii="Arial" w:hAnsi="Arial" w:cs="Arial"/>
          <w:sz w:val="20"/>
        </w:rPr>
      </w:pPr>
      <w:r>
        <w:rPr>
          <w:rFonts w:cs="Arial" w:ascii="Arial" w:hAnsi="Arial"/>
          <w:sz w:val="20"/>
        </w:rPr>
        <w:t>Other usual conditions precedent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szCs w:val="24"/>
        </w:rPr>
      </w:pPr>
      <w:r>
        <w:rPr>
          <w:rFonts w:cs="Arial" w:ascii="Arial" w:hAnsi="Arial"/>
          <w:sz w:val="20"/>
          <w:szCs w:val="24"/>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numPr>
          <w:ilvl w:val="0"/>
          <w:numId w:val="2"/>
        </w:numPr>
        <w:rPr>
          <w:rFonts w:ascii="Arial" w:hAnsi="Arial" w:cs="Arial"/>
          <w:sz w:val="20"/>
        </w:rPr>
      </w:pPr>
      <w:r>
        <w:rPr>
          <w:rFonts w:cs="Arial" w:ascii="Arial" w:hAnsi="Arial"/>
          <w:sz w:val="20"/>
        </w:rPr>
        <w:t>Purchase Agreement Effective Date/FERC 203 Filing</w:t>
        <w:tab/>
        <w:tab/>
        <w:t>10/11/01</w:t>
      </w:r>
    </w:p>
    <w:p>
      <w:pPr>
        <w:pStyle w:val="Normal"/>
        <w:numPr>
          <w:ilvl w:val="0"/>
          <w:numId w:val="2"/>
        </w:numPr>
        <w:rPr>
          <w:rFonts w:ascii="Arial" w:hAnsi="Arial" w:cs="Arial"/>
          <w:sz w:val="20"/>
        </w:rPr>
      </w:pPr>
      <w:r>
        <w:rPr>
          <w:rFonts w:cs="Arial" w:ascii="Arial" w:hAnsi="Arial"/>
          <w:sz w:val="20"/>
        </w:rPr>
        <w:t>Anticipated FERC 203 Approval</w:t>
        <w:tab/>
        <w:tab/>
        <w:tab/>
        <w:tab/>
        <w:tab/>
        <w:t>11/08/01</w:t>
      </w:r>
    </w:p>
    <w:p>
      <w:pPr>
        <w:pStyle w:val="Normal"/>
        <w:numPr>
          <w:ilvl w:val="0"/>
          <w:numId w:val="2"/>
        </w:numPr>
        <w:rPr>
          <w:rFonts w:ascii="Arial" w:hAnsi="Arial" w:cs="Arial"/>
          <w:sz w:val="20"/>
        </w:rPr>
      </w:pPr>
      <w:r>
        <w:rPr>
          <w:rFonts w:cs="Arial" w:ascii="Arial" w:hAnsi="Arial"/>
          <w:sz w:val="20"/>
        </w:rPr>
        <w:t>Closing</w:t>
        <w:tab/>
        <w:tab/>
        <w:tab/>
        <w:tab/>
        <w:tab/>
        <w:tab/>
        <w:tab/>
        <w:tab/>
        <w:t>11/13/01</w:t>
        <w:tab/>
        <w:tab/>
        <w:tab/>
        <w:tab/>
        <w:tab/>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bottom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bottom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op w:val="single" w:sz="4" w:space="0" w:color="000000"/>
            </w:tcBorders>
          </w:tcPr>
          <w:p>
            <w:pPr>
              <w:pStyle w:val="Normal"/>
              <w:spacing w:before="120" w:after="0"/>
              <w:rPr>
                <w:rFonts w:ascii="Arial" w:hAnsi="Arial" w:cs="Arial"/>
                <w:sz w:val="20"/>
              </w:rPr>
            </w:pPr>
            <w:r>
              <w:rPr>
                <w:rFonts w:cs="Arial" w:ascii="Arial" w:hAnsi="Arial"/>
                <w:sz w:val="20"/>
              </w:rPr>
              <w:t>EAE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Ron Tapscott/Ben Jacoby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 David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Technical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Robert Virgo</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OEC/NEPCO Mgmt.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Stanley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Wes Colwell/Cris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 OOC</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Doyle_DASH_100901.doc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ind w:hanging="0" w:start="-108" w:end="0"/>
      <w:outlineLvl w:val="6"/>
    </w:pPr>
    <w:rPr>
      <w:rFonts w:ascii="Arial" w:hAnsi="Arial" w:cs="Arial"/>
      <w:b/>
      <w:bCs/>
      <w:i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b w:val="false"/>
      <w:i w:val="false"/>
    </w:rPr>
  </w:style>
  <w:style w:type="character" w:styleId="WW8Num4z0">
    <w:name w:val="WW8Num4z0"/>
    <w:qFormat/>
    <w:rPr>
      <w:b w:val="false"/>
      <w:i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2001-10-09T15:03:00Z</dcterms:created>
  <dc:creator>kjolly</dc:creator>
  <dc:description/>
  <dc:language>en-CA</dc:language>
  <cp:lastModifiedBy>Lynn Nazareth</cp:lastModifiedBy>
  <cp:lastPrinted>2001-10-09T10:19:00Z</cp:lastPrinted>
  <dcterms:modified xsi:type="dcterms:W3CDTF">2001-10-09T15:03:00Z</dcterms:modified>
  <cp:revision>2</cp:revision>
  <dc:subject/>
  <dc:title>ENRON RISK ASSESSMENT AND CONTROL</dc:title>
</cp:coreProperties>
</file>