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August 8, 2001</w:t>
      </w:r>
    </w:p>
    <w:p>
      <w:pPr>
        <w:pStyle w:val="Normal"/>
        <w:rPr/>
      </w:pPr>
      <w:r>
        <w:rPr/>
      </w:r>
    </w:p>
    <w:p>
      <w:pPr>
        <w:pStyle w:val="Normal"/>
        <w:rPr/>
      </w:pPr>
      <w:r>
        <w:rPr/>
        <w:t>Mr. Gary Chapman</w:t>
      </w:r>
    </w:p>
    <w:p>
      <w:pPr>
        <w:pStyle w:val="Normal"/>
        <w:rPr/>
      </w:pPr>
      <w:r>
        <w:rPr/>
        <w:t>Dow Hydrocarbons and Resources, Inc.</w:t>
      </w:r>
    </w:p>
    <w:p>
      <w:pPr>
        <w:pStyle w:val="Normal"/>
        <w:rPr/>
      </w:pPr>
      <w:r>
        <w:rPr/>
        <w:t>400 West Sam Houston Pkwy. S</w:t>
      </w:r>
    </w:p>
    <w:p>
      <w:pPr>
        <w:pStyle w:val="Normal"/>
        <w:rPr/>
      </w:pPr>
      <w:r>
        <w:rPr/>
        <w:t>Houston, Texas 77042-1299</w:t>
      </w:r>
    </w:p>
    <w:p>
      <w:pPr>
        <w:pStyle w:val="Normal"/>
        <w:rPr/>
      </w:pPr>
      <w:r>
        <w:rPr/>
      </w:r>
    </w:p>
    <w:p>
      <w:pPr>
        <w:pStyle w:val="Normal"/>
        <w:rPr/>
      </w:pPr>
      <w:r>
        <w:rPr/>
        <w:tab/>
        <w:t>Re:</w:t>
        <w:tab/>
        <w:t xml:space="preserve">Dow Hydrocarbons and Resources Inc.’s letter dated August 1, 2001 </w:t>
      </w:r>
    </w:p>
    <w:p>
      <w:pPr>
        <w:pStyle w:val="Normal"/>
        <w:rPr/>
      </w:pPr>
      <w:r>
        <w:rPr/>
      </w:r>
    </w:p>
    <w:p>
      <w:pPr>
        <w:pStyle w:val="Normal"/>
        <w:rPr/>
      </w:pPr>
      <w:r>
        <w:rPr/>
        <w:t>Dear Mr. Chapman:</w:t>
      </w:r>
    </w:p>
    <w:p>
      <w:pPr>
        <w:pStyle w:val="Normal"/>
        <w:rPr/>
      </w:pPr>
      <w:r>
        <w:rPr/>
      </w:r>
    </w:p>
    <w:p>
      <w:pPr>
        <w:pStyle w:val="Normal"/>
        <w:ind w:firstLine="720" w:end="0"/>
        <w:rPr/>
      </w:pPr>
      <w:r>
        <w:rPr/>
        <w:t>The purpose of this letter is clarify LRCI, Inc.’s (as successor in interest to Enron Storage Company) (“LRCI”) position concerning the issues addressed in your August 1, 2001 letter concerning the Natural Gas Storage and Brine Service Agreement between LRCI and Dow Hydrocarbons and Resources, Inc. (“Dow”) dated May 13, 1993 (the “Agreement”) as amended by that certain Amendment to the Natural Gas Storage and Brine Service Agreement between LRCI and Dow dated September 1, 2000 (the “Amendment”).  You are correct that LRCI, Inc. has commenced natural gas injections into the ESC well (debrining phase), however, the natural gas injections commenced on August 1, 2001, not on July 31, 2001.  Thus the 220 day period as specified in Paragraph 4 of the Amendment shall commence on August 1, 2001.</w:t>
      </w:r>
    </w:p>
    <w:p>
      <w:pPr>
        <w:pStyle w:val="Normal"/>
        <w:ind w:firstLine="720" w:end="0"/>
        <w:rPr/>
      </w:pPr>
      <w:r>
        <w:rPr/>
      </w:r>
    </w:p>
    <w:p>
      <w:pPr>
        <w:pStyle w:val="Normal"/>
        <w:ind w:firstLine="720" w:end="0"/>
        <w:rPr/>
      </w:pPr>
      <w:r>
        <w:rPr/>
        <w:t xml:space="preserve">Also in your letter you stated that “all gas needs to be out and wells 13 and 14 refilled with brine by March 8, 2002”.  You further state that “Dow will utilize any gas remaining in wells 13 and 14 after this date”.  These statements have no basis within the Agreement or the Amendment.  </w:t>
      </w:r>
    </w:p>
    <w:p>
      <w:pPr>
        <w:pStyle w:val="Normal"/>
        <w:ind w:firstLine="720" w:end="0"/>
        <w:rPr/>
      </w:pPr>
      <w:r>
        <w:rPr/>
      </w:r>
    </w:p>
    <w:p>
      <w:pPr>
        <w:pStyle w:val="Normal"/>
        <w:ind w:firstLine="720" w:end="0"/>
        <w:rPr/>
      </w:pPr>
      <w:r>
        <w:rPr/>
        <w:t xml:space="preserve">Paragraph 2 of the Amendment requires LRCI to use “reasonable best efforts to have all remaining Natural Gas </w:t>
      </w:r>
      <w:r>
        <w:rPr>
          <w:b/>
          <w:bCs/>
        </w:rPr>
        <w:t>which is part of the Working Capacity (emphasis added)</w:t>
      </w:r>
      <w:r>
        <w:rPr/>
        <w:t xml:space="preserve"> removed from Dow wells 13 and 14 within 220 days following the date natural gas injections begin into the ESC well”.  The pad gas is not included in this requirement.  </w:t>
      </w:r>
    </w:p>
    <w:p>
      <w:pPr>
        <w:pStyle w:val="Normal"/>
        <w:ind w:firstLine="720" w:end="0"/>
        <w:rPr/>
      </w:pPr>
      <w:r>
        <w:rPr/>
      </w:r>
    </w:p>
    <w:p>
      <w:pPr>
        <w:pStyle w:val="Normal"/>
        <w:ind w:firstLine="720" w:end="0"/>
        <w:rPr/>
      </w:pPr>
      <w:r>
        <w:rPr/>
        <w:t xml:space="preserve">Paragraph 4 requires LRCI to exit from the Dow wells 13 and 14 within 220 days following the date natural gas injections begin into the LRCI well, but the Agreement and Amendment </w:t>
      </w:r>
      <w:r>
        <w:rPr>
          <w:b/>
          <w:bCs/>
        </w:rPr>
        <w:t>do not</w:t>
      </w:r>
      <w:r>
        <w:rPr/>
        <w:t xml:space="preserve"> give Dow any rights to the pad gas remaining in the wells 13 and 14 or any nominal amount of Working Gas remaining.   On the contrary Paragraph 7 of the Amendment outlines Dow and LRCI’s rights and obligations concerning the pad gas.  Paragraph 7 of the Amendment States:</w:t>
      </w:r>
    </w:p>
    <w:p>
      <w:pPr>
        <w:pStyle w:val="Normal"/>
        <w:ind w:firstLine="720" w:end="0"/>
        <w:rPr/>
      </w:pPr>
      <w:r>
        <w:rPr/>
      </w:r>
    </w:p>
    <w:p>
      <w:pPr>
        <w:pStyle w:val="Normal"/>
        <w:ind w:start="720" w:end="0"/>
        <w:rPr/>
      </w:pPr>
      <w:r>
        <w:rPr/>
        <w:t>“</w:t>
      </w:r>
      <w:r>
        <w:rPr/>
        <w:t xml:space="preserve">ESC extends to Dow an option to purchase the pad gas and any nominal amount of Natural Gas, which is part of the Working Capacity in Dow wells 13 and 14 (collectively “Purchase Gas”) </w:t>
      </w:r>
      <w:r>
        <w:rPr>
          <w:b/>
          <w:bCs/>
        </w:rPr>
        <w:t>remaining in these wells at the time of ESC’s exit from Dow wells 13 and 14</w:t>
      </w:r>
      <w:r>
        <w:rPr/>
        <w:t>.” (emphasis added)</w:t>
      </w:r>
    </w:p>
    <w:p>
      <w:pPr>
        <w:pStyle w:val="Normal"/>
        <w:rPr/>
      </w:pPr>
      <w:r>
        <w:rPr/>
      </w:r>
    </w:p>
    <w:p>
      <w:pPr>
        <w:pStyle w:val="Normal"/>
        <w:rPr/>
      </w:pPr>
      <w:r>
        <w:rPr/>
        <w:t>This option expired on December 15, 2000.  Since Dow chose not to exercise this option, the last two sentences of Paragraph 7 of the Amendment control.  They state:</w:t>
      </w:r>
    </w:p>
    <w:p>
      <w:pPr>
        <w:pStyle w:val="Normal"/>
        <w:rPr/>
      </w:pPr>
      <w:r>
        <w:rPr/>
      </w:r>
    </w:p>
    <w:p>
      <w:pPr>
        <w:pStyle w:val="Normal"/>
        <w:ind w:start="720" w:end="0"/>
        <w:rPr/>
      </w:pPr>
      <w:r>
        <w:rPr/>
        <w:t>“</w:t>
      </w:r>
      <w:r>
        <w:rPr/>
        <w:t>In the event Dow does not purchase the Purchase Gas,  ESC will retrofit the Dow wells 13 and 14 with brine tubing and install and reconnect the surface level piping necessary to re-fill the wells with brine and displace the Purchase Gas.  Dow will provide brine to re-fill the Dow wells 13 and 14 in accordance with paragraph 2.7 of the Agreement”</w:t>
      </w:r>
    </w:p>
    <w:p>
      <w:pPr>
        <w:pStyle w:val="Normal"/>
        <w:ind w:firstLine="720" w:end="0"/>
        <w:rPr/>
      </w:pPr>
      <w:r>
        <w:rPr/>
      </w:r>
    </w:p>
    <w:p>
      <w:pPr>
        <w:pStyle w:val="Normal"/>
        <w:ind w:firstLine="720" w:end="0"/>
        <w:rPr/>
      </w:pPr>
      <w:r>
        <w:rPr/>
        <w:t>Furthermore, you stated “the entire Agreement terminates on March 8, 2002”.  This is is not the case.  Paragraph 6.4 of the Agreement as amended by the Amendment requires Dow to use reasonable best efforts to take brine from the LRCI well at an average rate of 2,000 GPM while LRCI is injecting natural gas to displace the brine in the LRCI well.  This will extend beyond March 9, 2002.</w:t>
      </w:r>
    </w:p>
    <w:p>
      <w:pPr>
        <w:pStyle w:val="Normal"/>
        <w:ind w:firstLine="720" w:end="0"/>
        <w:rPr/>
      </w:pPr>
      <w:r>
        <w:rPr/>
      </w:r>
    </w:p>
    <w:p>
      <w:pPr>
        <w:pStyle w:val="Normal"/>
        <w:ind w:firstLine="720" w:end="0"/>
        <w:rPr/>
      </w:pPr>
      <w:r>
        <w:rPr/>
        <w:t xml:space="preserve">In reference to the last paragraph of the letter, LRCI, Inc. would be happy to discuss the potential sale of the pad gas in wells 13 and 14 to a third party interested in leasing the wells 13 and 14.  Any such sale would be on terms as negotiated between LRCI, Inc. and such third party.  </w:t>
      </w:r>
    </w:p>
    <w:p>
      <w:pPr>
        <w:pStyle w:val="Normal"/>
        <w:rPr/>
      </w:pPr>
      <w:r>
        <w:rPr/>
      </w:r>
    </w:p>
    <w:p>
      <w:pPr>
        <w:pStyle w:val="Normal"/>
        <w:rPr/>
      </w:pPr>
      <w:r>
        <w:rPr/>
        <w:tab/>
        <w:t>Please call me at (713) 853-1931 to discuss these issues are your earliest convenience.</w:t>
      </w:r>
    </w:p>
    <w:p>
      <w:pPr>
        <w:pStyle w:val="Normal"/>
        <w:rPr/>
      </w:pPr>
      <w:r>
        <w:rPr/>
      </w:r>
    </w:p>
    <w:p>
      <w:pPr>
        <w:pStyle w:val="Normal"/>
        <w:rPr/>
      </w:pPr>
      <w:r>
        <w:rPr/>
        <w:tab/>
        <w:tab/>
        <w:tab/>
        <w:tab/>
        <w:tab/>
        <w:tab/>
        <w:t>Sincerely,</w:t>
      </w:r>
    </w:p>
    <w:p>
      <w:pPr>
        <w:pStyle w:val="Normal"/>
        <w:rPr/>
      </w:pPr>
      <w:r>
        <w:rPr/>
      </w:r>
    </w:p>
    <w:p>
      <w:pPr>
        <w:pStyle w:val="Normal"/>
        <w:rPr/>
      </w:pPr>
      <w:r>
        <w:rPr/>
      </w:r>
    </w:p>
    <w:p>
      <w:pPr>
        <w:pStyle w:val="Normal"/>
        <w:rPr/>
      </w:pPr>
      <w:r>
        <w:rPr/>
      </w:r>
    </w:p>
    <w:p>
      <w:pPr>
        <w:pStyle w:val="Normal"/>
        <w:rPr/>
      </w:pPr>
      <w:r>
        <w:rPr/>
        <w:tab/>
        <w:tab/>
        <w:tab/>
        <w:tab/>
        <w:tab/>
        <w:tab/>
        <w:t>Jean Mrha</w:t>
      </w:r>
    </w:p>
    <w:p>
      <w:pPr>
        <w:pStyle w:val="Normal"/>
        <w:rPr/>
      </w:pPr>
      <w:r>
        <w:rPr/>
        <w:tab/>
        <w:tab/>
        <w:tab/>
        <w:tab/>
        <w:tab/>
        <w:tab/>
        <w:t>Vice President</w:t>
      </w:r>
    </w:p>
    <w:p>
      <w:pPr>
        <w:pStyle w:val="Normal"/>
        <w:rPr/>
      </w:pPr>
      <w:r>
        <w:rPr/>
        <w:tab/>
        <w:tab/>
        <w:tab/>
        <w:tab/>
        <w:tab/>
        <w:tab/>
        <w:t>LRCI, Inc.</w:t>
      </w:r>
    </w:p>
    <w:p>
      <w:pPr>
        <w:pStyle w:val="Normal"/>
        <w:rPr/>
      </w:pPr>
      <w:r>
        <w:rPr/>
      </w:r>
    </w:p>
    <w:p>
      <w:pPr>
        <w:pStyle w:val="Normal"/>
        <w:rPr/>
      </w:pPr>
      <w:r>
        <w:rPr/>
      </w:r>
    </w:p>
    <w:p>
      <w:pPr>
        <w:pStyle w:val="Normal"/>
        <w:rPr/>
      </w:pPr>
      <w:r>
        <w:rPr/>
      </w:r>
    </w:p>
    <w:p>
      <w:pPr>
        <w:pStyle w:val="Header"/>
        <w:tabs>
          <w:tab w:val="clear" w:pos="4320"/>
          <w:tab w:val="clear" w:pos="8640"/>
        </w:tabs>
        <w:rPr/>
      </w:pPr>
      <w:r>
        <w:rPr/>
      </w:r>
    </w:p>
    <w:sectPr>
      <w:footerReference w:type="default" r:id="rId2"/>
      <w:type w:val="nextPage"/>
      <w:pgSz w:w="12240" w:h="15840"/>
      <w:pgMar w:left="1800" w:right="1800" w:gutter="0" w:header="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/mnt/main-storage/datasets/enron-docs/doc/Dow_Response_Letter.doc</w:t>
    </w:r>
    <w:r>
      <w:rPr>
        <w:sz w:val="12"/>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2001-08-07T20:19:00Z</dcterms:created>
  <dc:creator>Pat Radford</dc:creator>
  <dc:description/>
  <dc:language>en-CA</dc:language>
  <cp:lastModifiedBy>gnemec</cp:lastModifiedBy>
  <cp:lastPrinted>2001-08-07T17:49:00Z</cp:lastPrinted>
  <dcterms:modified xsi:type="dcterms:W3CDTF">2001-08-07T20:23:00Z</dcterms:modified>
  <cp:revision>4</cp:revision>
  <dc:subject/>
  <dc:title>January  26, 1999</dc:title>
</cp:coreProperties>
</file>