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ind w:hanging="0" w:start="0"/>
        <w:rPr/>
      </w:pPr>
      <w:r>
        <w:rPr/>
        <w:t>Dominion Transmission, Inc.</w:t>
        <w:tab/>
        <w:tab/>
        <w:tab/>
        <w:t>)</w:t>
        <w:tab/>
        <w:tab/>
        <w:t>Docket No. RP00-344-000</w:t>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ind w:firstLine="1440" w:end="0"/>
        <w:rPr/>
      </w:pPr>
      <w:r>
        <w:rPr/>
        <w:t>In Order No. 637</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Dominion Transmission, Inc. (“Dominion”)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BodyText"/>
        <w:tabs>
          <w:tab w:val="clear" w:pos="720"/>
          <w:tab w:val="left" w:pos="1440" w:leader="none"/>
          <w:tab w:val="left" w:pos="3600" w:leader="none"/>
          <w:tab w:val="left" w:pos="4320" w:leader="none"/>
          <w:tab w:val="left" w:pos="5040" w:leader="none"/>
          <w:tab w:val="left" w:pos="5856" w:leader="none"/>
        </w:tabs>
        <w:ind w:firstLine="1440" w:end="0"/>
        <w:rPr/>
      </w:pPr>
      <w:r>
        <w:rPr/>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ind w:firstLine="1440" w:end="0"/>
        <w:rPr/>
      </w:pPr>
      <w:r>
        <w:rPr/>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ind w:firstLine="1440" w:end="0"/>
        <w:rPr/>
      </w:pPr>
      <w:r>
        <w:rPr/>
        <w:t>Dominion has proposed new balancing rules which it discusses at pp. 17-18 of its filing (see also Section 29 of its General Terms and Conditions).  Dominion proposes to notify shippers when they have an imbalance, and shippers are required to correct the imbalance within 24 hours (if they have no other pre-determined method for resolving the imbalance).  If the shipper fails to eliminate the imbalance within the 24-hour period, Dominion will create a Rate Schedule MCS park or loan transaction to handle the imbalance, if that service is available.  If MCS service is not available, for negative imbalances, Dominion will purchase gas at market rates and charge the shipper for the cost of the gas.  Positive imbalances will be treated as unauthorized gas under Section 29.</w:t>
      </w:r>
    </w:p>
    <w:p>
      <w:pPr>
        <w:pStyle w:val="BodyText"/>
        <w:ind w:firstLine="1440" w:end="0"/>
        <w:rPr/>
      </w:pPr>
      <w:r>
        <w:rPr/>
        <w:t>ENA has some concerns over the Dominion imbalance proposal.  First, it seems that Dominion is requiring, at least in some circumstances, e.g., when MCS service is not available, daily balancing to zero.  If this is the case, then we need to be assured that Dominion is providing daily “actuals” on which shippers can rely.  Shippers cannot be held to balancing standards if the information needed to maintain balances is not timely provided to them.  Second, if Dominion proposes to charge shippers for gas purchased to make up underdeliveries or to clear overdeliveries, some reference price must be established.  Typically, the pipeline tariff will refer to an particular, appropriate published index price as the reference price for imbalances.  The price should not be left to Dominion’s discretion.  Lastly, as to the treatment of positive imbalances (overdeliveries), Dominion proposes to handle this gas under its unauthorized gas provisions in Section 29.  This requires that the shipper have a 72-hour period to take corrective action before gas is confiscated.  ENA asserts that this 72-hour period is more appropriate and would override the 24-hour make-up period Dominion apparently wants to impose under its new provisions.  This needs to be clarified.</w:t>
      </w:r>
    </w:p>
    <w:p>
      <w:pPr>
        <w:pStyle w:val="BodyText"/>
        <w:ind w:firstLine="1440" w:end="0"/>
        <w:rPr/>
      </w:pPr>
      <w:r>
        <w:rPr/>
        <w:t xml:space="preserve">On page 25 of its filing, Dominion states “[b]ecause DTI does not charge daily scheduling or imbalance penalties, there is no need to upgrade or expedite the information on imbalances from that already available.  DTI provides each shipper information concerning its imbalance status 24 hours after the end of the gas day.  Shippers will have 24 additional hours to correct their imbalances.” [Footnotes omitted.]  ENA submits that, as discussed above, the provisions under which Dominion will confiscate overdeliveries not corrected in a 24-hour period is a penalty, not a cost-based  charge.  Thus, Dominion’s justification for keeping its imbalance information at the status quo is misplaced.  Dominion does not seem to have a tolerance for imbalances and does seem to be moving to daily balancing.  ENA is concerned that the daily figures that Dominion provides to the shippers may not be “final” figures and may be subject to change due to reallocations or other adjustments.  If the shipper takes corrective action based on one of these reports, and deliveries are adjusted retroactively later on, there will be an adverse economic impact to the shippers.  </w:t>
      </w:r>
    </w:p>
    <w:p>
      <w:pPr>
        <w:pStyle w:val="BodyText"/>
        <w:ind w:firstLine="1440" w:end="0"/>
        <w:rPr/>
      </w:pPr>
      <w:r>
        <w:rPr/>
        <w:t xml:space="preserve">We also have a concern as to the form of notice.  Page 17 of Dominion’s application seems to indicate that Dominion will provide specific notice of an imbalance which must be corrected within 24 hours.  However, the tariff language is unclear.  Is it Dominion’s intent that a daily status report constitutes automatic notice of a requirement to correct, or will a separate notice be provided?  </w:t>
      </w:r>
    </w:p>
    <w:p>
      <w:pPr>
        <w:pStyle w:val="BodyText"/>
        <w:ind w:firstLine="1440" w:end="0"/>
        <w:rPr/>
      </w:pPr>
      <w:r>
        <w:rPr/>
        <w:t xml:space="preserve">ENA submits that there are some real and potential problems with Dominion’s balancing changes that should at the least be subject to a technical conference so that shippers can understand what is being required, and concerns such as we raise here can be addressed.   </w:t>
      </w:r>
    </w:p>
    <w:p>
      <w:pPr>
        <w:pStyle w:val="BodyText"/>
        <w:tabs>
          <w:tab w:val="clear" w:pos="720"/>
          <w:tab w:val="left" w:pos="1440" w:leader="none"/>
        </w:tabs>
        <w:jc w:val="center"/>
        <w:rPr>
          <w:b/>
          <w:caps/>
        </w:rPr>
      </w:pP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ind w:firstLine="1440" w:end="0"/>
        <w:rPr/>
      </w:pPr>
      <w:r>
        <w:rPr>
          <w:caps/>
        </w:rPr>
        <w:t xml:space="preserve">WHEREFORE, </w:t>
      </w:r>
      <w:r>
        <w:rPr/>
        <w:t>in light of the foregoing, ENA respectfully requests that the Commission grant it leave to intervene in this proceeding and either reject Dominion’s proposed balancing rule changes or call for a technical conference consistent with the discussion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July 17,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sz w:val="24"/>
        </w:rPr>
        <w:tab/>
        <w:t>Dated this 17</w:t>
      </w:r>
      <w:r>
        <w:rPr>
          <w:sz w:val="24"/>
          <w:vertAlign w:val="superscript"/>
        </w:rPr>
        <w:t>th</w:t>
      </w:r>
      <w:r>
        <w:rPr>
          <w:sz w:val="24"/>
        </w:rPr>
        <w:t xml:space="preserve"> day of July,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jc w:val="center"/>
        <w:rPr/>
      </w:pPr>
      <w:r>
        <w:rPr/>
        <w:tab/>
        <w:tab/>
        <w:tab/>
        <w:tab/>
        <w:t>Leslie J. Lawner</w:t>
      </w:r>
    </w:p>
    <w:p>
      <w:pPr>
        <w:pStyle w:val="BodyText"/>
        <w:ind w:firstLine="1440" w:end="0"/>
        <w:jc w:val="center"/>
        <w:rPr/>
      </w:pPr>
      <w:r>
        <w:rPr/>
      </w:r>
    </w:p>
    <w:p>
      <w:pPr>
        <w:pStyle w:val="Normal"/>
        <w:ind w:firstLine="1440" w:end="0"/>
        <w:rPr/>
      </w:pPr>
      <w:r>
        <w:rPr/>
      </w:r>
    </w:p>
    <w:p>
      <w:pPr>
        <w:pStyle w:val="Normal"/>
        <w:ind w:firstLine="1440" w:end="0"/>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91 F.E.R.C. ¶ 61,169 (2000) (Order No. 637-A).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2000-07-14T13:07:00Z</dcterms:created>
  <dc:creator>leslie joyce lawner</dc:creator>
  <dc:description/>
  <dc:language>en-CA</dc:language>
  <cp:lastModifiedBy>bcantre</cp:lastModifiedBy>
  <cp:lastPrinted>2000-07-14T15:56:00Z</cp:lastPrinted>
  <dcterms:modified xsi:type="dcterms:W3CDTF">2000-07-14T18:26:00Z</dcterms:modified>
  <cp:revision>6</cp:revision>
  <dc:subject/>
  <dc:title>UNITED STATES OF AMERICA</dc:title>
</cp:coreProperties>
</file>