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rightFromText="180" w:tblpX="7" w:tblpY="80"/>
        <w:tblOverlap w:val="never"/>
        <w:tblW w:w="11304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8946"/>
      </w:tblGrid>
      <w:tr>
        <w:trPr>
          <w:trHeight w:val="797" w:hRule="atLeast"/>
        </w:trPr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Counterparty: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/>
                <w:sz w:val="16"/>
              </w:rPr>
            </w:r>
          </w:p>
          <w:p>
            <w:pPr>
              <w:pStyle w:val="Heading1"/>
              <w:ind w:hanging="0" w:start="0"/>
              <w:rPr/>
            </w:pPr>
            <w:r>
              <w:rPr/>
              <w:t>Dominion (formerly Louis Dreyfus) -Seller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47" w:hRule="atLeast"/>
        </w:trPr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Contract Name and Date: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Gas supply agreement between ENA and Dominion (formerly Louis Dreyfus)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>
          <w:trHeight w:val="347" w:hRule="atLeast"/>
        </w:trPr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Contract Number: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>
          <w:trHeight w:val="531" w:hRule="atLeast"/>
        </w:trPr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Contract Type: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Gas Purchase Contract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>
          <w:trHeight w:val="531" w:hRule="atLeast"/>
        </w:trPr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Term: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April 1, 1994 to March 31, 2013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>
          <w:trHeight w:val="347" w:hRule="atLeast"/>
        </w:trPr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Receipt Points: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ARTICLE 5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FGT Z1 (POI #611 MOPS) or FGT Z2 (POI 10102-United St. Landry)</w:t>
            </w:r>
          </w:p>
        </w:tc>
      </w:tr>
      <w:tr>
        <w:trPr>
          <w:trHeight w:val="1744" w:hRule="atLeast"/>
        </w:trPr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Contract Price:</w:t>
            </w:r>
          </w:p>
          <w:p>
            <w:pPr>
              <w:pStyle w:val="Normal"/>
              <w:widowControl/>
              <w:jc w:val="both"/>
              <w:rPr/>
            </w:pPr>
            <w:r>
              <w:rPr>
                <w:rFonts w:cs="Arial Black" w:ascii="Arial Black" w:hAnsi="Arial Black"/>
                <w:sz w:val="16"/>
              </w:rPr>
              <w:t>2</w:t>
            </w:r>
            <w:r>
              <w:rPr>
                <w:rFonts w:cs="Arial Black" w:ascii="Arial Black" w:hAnsi="Arial Black"/>
                <w:sz w:val="16"/>
                <w:vertAlign w:val="superscript"/>
              </w:rPr>
              <w:t>ND</w:t>
            </w:r>
            <w:r>
              <w:rPr>
                <w:rFonts w:cs="Arial Black" w:ascii="Arial Black" w:hAnsi="Arial Black"/>
                <w:sz w:val="16"/>
              </w:rPr>
              <w:t xml:space="preserve"> AMENDMENT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BodyText"/>
              <w:rPr/>
            </w:pPr>
            <w:r>
              <w:rPr/>
              <w:t>Varying Fix price (per second amendment dated 6/25/96):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 xml:space="preserve">July 01-June 02 =    $2.1562                      July 07-June 08 =    $2.5747                      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July 02-June 03 =    $2.2209                      July 08-June 09 =    $2.6519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July 03-June 04 =    $2.2876                      July 09-June 10 =    $2.7315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July 04-June 05 =    $2.3562                      July 10-June 11 =    $2.8134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July 05-June 06 =    $2.4269                      July 11-June 12 =    $2.8978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July 06-June 07 =    $2.4997                     July 12-March 13=   $2.9848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>
          <w:trHeight w:val="2403" w:hRule="atLeast"/>
        </w:trPr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Quantity: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ARTICLE 2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tabs>
                <w:tab w:val="clear" w:pos="720"/>
              </w:tabs>
              <w:ind w:hanging="360" w:start="252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DCQ (Daily Contract Quantity) = Oct-April 10,000 mmbtu/day and May-Sep 13,000 mmbtu/day</w:t>
            </w:r>
          </w:p>
          <w:p>
            <w:pPr>
              <w:pStyle w:val="Normal"/>
              <w:widowControl/>
              <w:ind w:start="-108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tabs>
                <w:tab w:val="clear" w:pos="720"/>
              </w:tabs>
              <w:ind w:hanging="360" w:start="252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If Buyer (ENA) fails to take the DCQ, ENA must pay a penalty which is calculated as</w:t>
            </w:r>
          </w:p>
          <w:p>
            <w:pPr>
              <w:pStyle w:val="Normal"/>
              <w:widowControl/>
              <w:numPr>
                <w:ilvl w:val="1"/>
                <w:numId w:val="3"/>
              </w:numPr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Greater of $.30/mmbtu or (Contract Price less Market, plus transport plus $.02</w:t>
            </w:r>
          </w:p>
          <w:p>
            <w:pPr>
              <w:pStyle w:val="Normal"/>
              <w:widowControl/>
              <w:numPr>
                <w:ilvl w:val="1"/>
                <w:numId w:val="3"/>
              </w:numPr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Seller has same calculation if they do not make DCQ available</w:t>
            </w:r>
          </w:p>
          <w:p>
            <w:pPr>
              <w:pStyle w:val="Normal"/>
              <w:widowControl/>
              <w:numPr>
                <w:ilvl w:val="1"/>
                <w:numId w:val="3"/>
              </w:numPr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If Buyer failure, then at Seller option Buyer can buy “make-up” rest of month</w:t>
            </w:r>
          </w:p>
          <w:p>
            <w:pPr>
              <w:pStyle w:val="Normal"/>
              <w:widowControl/>
              <w:numPr>
                <w:ilvl w:val="1"/>
                <w:numId w:val="3"/>
              </w:numPr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If Seller failure, then at Buyer option Seller can sell “make-up” rest of month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tabs>
                <w:tab w:val="clear" w:pos="720"/>
              </w:tabs>
              <w:ind w:hanging="360" w:start="252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“</w:t>
            </w:r>
            <w:r>
              <w:rPr>
                <w:rFonts w:cs="Arial Black" w:ascii="Arial Black" w:hAnsi="Arial Black"/>
                <w:sz w:val="16"/>
              </w:rPr>
              <w:t>Original Nomination” (i.e. FOM Nom) is due before beginning of month; Buyer and Seller can change nomination delivery points with 24-hour notice.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>
          <w:trHeight w:val="1425" w:hRule="atLeast"/>
        </w:trPr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Notice/Default/Right to Cure: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ARTICLE 14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tabs>
                <w:tab w:val="clear" w:pos="720"/>
              </w:tabs>
              <w:ind w:hanging="360" w:start="252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Non defaulting party must notify with in 60 days of default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tabs>
                <w:tab w:val="clear" w:pos="720"/>
              </w:tabs>
              <w:ind w:hanging="360" w:start="252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Defaulting Party has 30 days in which to remedy or remove the cause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tabs>
                <w:tab w:val="clear" w:pos="720"/>
              </w:tabs>
              <w:ind w:hanging="360" w:start="252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If after 60 days from notice the Defaulting Party has not cured, then at the option of the Non-Defaulting party the contract will be become null and void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tabs>
                <w:tab w:val="clear" w:pos="720"/>
              </w:tabs>
              <w:ind w:hanging="360" w:start="252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IF SELLER TERMINATES: Seller must cover “Buyer’s obligation”; cover means market prices vs. the contracted price.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tabs>
                <w:tab w:val="clear" w:pos="720"/>
              </w:tabs>
              <w:ind w:hanging="360" w:start="252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IF BUYER TERMINATES: Buyer must mitigate losses; Seller pays Buyer difference between Contract and Market.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tabs>
                <w:tab w:val="clear" w:pos="720"/>
              </w:tabs>
              <w:ind w:hanging="360" w:start="252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A dispute regarding this Article will be handled in arbitration as outlined in Article 17 (AAA-3 panel)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>
          <w:trHeight w:val="840" w:hRule="atLeast"/>
        </w:trPr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Assignment:</w:t>
            </w:r>
          </w:p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ARTICLE 16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tabs>
                <w:tab w:val="clear" w:pos="720"/>
              </w:tabs>
              <w:ind w:hanging="360" w:start="252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Assignable to Affiliates and similar credit worthiness companies without approval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tabs>
                <w:tab w:val="clear" w:pos="720"/>
              </w:tabs>
              <w:ind w:hanging="360" w:start="252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Otherwise, must get prior written consent, not to be unreasonably withheld</w:t>
            </w:r>
          </w:p>
          <w:p>
            <w:pPr>
              <w:pStyle w:val="Normal"/>
              <w:widowControl/>
              <w:ind w:start="-108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pPr w:vertAnchor="text" w:horzAnchor="margin" w:rightFromText="180" w:tblpX="7" w:tblpY="80"/>
        <w:tblOverlap w:val="never"/>
        <w:tblW w:w="11304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8946"/>
      </w:tblGrid>
      <w:tr>
        <w:trPr>
          <w:trHeight w:val="1182" w:hRule="atLeast"/>
        </w:trPr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Current Status: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tabs>
                <w:tab w:val="clear" w:pos="720"/>
              </w:tabs>
              <w:ind w:hanging="360" w:start="252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 xml:space="preserve">ENA cured 27 days of default on December 28 pre-paying Dominion for balance of the month 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tabs>
                <w:tab w:val="clear" w:pos="720"/>
              </w:tabs>
              <w:ind w:hanging="360" w:start="252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Received Letter on 12/21/01 confirming Dominion’s willingness to begin flowing after 1) receipt of pre-pay, 2) source supply is contracted for and 3) proper nominations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tabs>
                <w:tab w:val="clear" w:pos="720"/>
              </w:tabs>
              <w:ind w:hanging="360" w:start="252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ENA is continuing to perform by prepaying Dominion (paid $603k for Jan-02 and will pay $603k for Feb-02)</w:t>
            </w:r>
          </w:p>
          <w:p>
            <w:pPr>
              <w:pStyle w:val="Normal"/>
              <w:widowControl/>
              <w:ind w:start="-108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</w:r>
          </w:p>
        </w:tc>
      </w:tr>
      <w:tr>
        <w:trPr>
          <w:trHeight w:val="1200" w:hRule="atLeast"/>
        </w:trPr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Issues/Risks</w:t>
            </w:r>
          </w:p>
        </w:tc>
        <w:tc>
          <w:tcPr>
            <w:tcW w:w="89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tabs>
                <w:tab w:val="clear" w:pos="720"/>
              </w:tabs>
              <w:ind w:hanging="360" w:start="252" w:end="0"/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Dominion delivered volume for November production and has not been paid (pre-petition claim); so there is a risk they may try to offset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jc w:val="both"/>
              <w:rPr>
                <w:rFonts w:ascii="Arial Black" w:hAnsi="Arial Black" w:cs="Arial Black"/>
                <w:sz w:val="16"/>
              </w:rPr>
            </w:pPr>
            <w:r>
              <w:rPr>
                <w:rFonts w:cs="Arial Black" w:ascii="Arial Black" w:hAnsi="Arial Black"/>
                <w:sz w:val="16"/>
              </w:rPr>
              <w:t>Risk deemed low as the termination language is 2-way, meaning they would have to pay ENA the MTM value of the contract through 2013</w:t>
            </w:r>
          </w:p>
        </w:tc>
      </w:tr>
    </w:tbl>
    <w:p>
      <w:pPr>
        <w:pStyle w:val="Normal"/>
        <w:widowControl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576" w:right="576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/mnt/main-storage/datasets/enron-docs/doc/Dominion_Contract_Brief.doc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 xml:space="preserve">REVIEWED BY:  Eric Boyt  </w:t>
    </w:r>
  </w:p>
  <w:p>
    <w:pPr>
      <w:pStyle w:val="Header"/>
      <w:rPr>
        <w:b/>
      </w:rPr>
    </w:pPr>
    <w:r>
      <w:rPr>
        <w:b/>
      </w:rPr>
      <w:t>DATE:         1/29/02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o"/>
      <w:lvlJc w:val="start"/>
      <w:pPr>
        <w:tabs>
          <w:tab w:val="num" w:pos="720"/>
        </w:tabs>
        <w:ind w:start="720" w:hanging="360"/>
      </w:pPr>
      <w:rPr>
        <w:rFonts w:ascii="Courier New" w:hAnsi="Courier New" w:cs="Courier New" w:hint="default"/>
      </w:rPr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jc w:val="both"/>
      <w:outlineLvl w:val="0"/>
    </w:pPr>
    <w:rPr>
      <w:rFonts w:ascii="Arial Black" w:hAnsi="Arial Black" w:cs="Arial Black"/>
      <w:sz w:val="28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jc w:val="both"/>
      <w:outlineLvl w:val="1"/>
    </w:pPr>
    <w:rPr>
      <w:rFonts w:ascii="Arial Black" w:hAnsi="Arial Black" w:cs="Arial Black"/>
      <w:sz w:val="16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/>
      <w:numPr>
        <w:ilvl w:val="2"/>
        <w:numId w:val="1"/>
      </w:numPr>
      <w:jc w:val="center"/>
      <w:outlineLvl w:val="2"/>
    </w:pPr>
    <w:rPr>
      <w:rFonts w:ascii="Arial Black" w:hAnsi="Arial Black" w:cs="Arial Black"/>
      <w:sz w:val="32"/>
    </w:rPr>
  </w:style>
  <w:style w:type="character" w:styleId="WW8Num1z0">
    <w:name w:val="WW8Num1z0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widowControl/>
      <w:jc w:val="center"/>
    </w:pPr>
    <w:rPr>
      <w:rFonts w:ascii="Arial Black" w:hAnsi="Arial Black" w:cs="Arial Black"/>
      <w:sz w:val="16"/>
      <w:u w:val="single"/>
    </w:rPr>
  </w:style>
  <w:style w:type="paragraph" w:styleId="BodyText">
    <w:name w:val="Body Text"/>
    <w:basedOn w:val="Normal"/>
    <w:pPr>
      <w:widowControl/>
      <w:jc w:val="both"/>
    </w:pPr>
    <w:rPr>
      <w:rFonts w:ascii="Arial Black" w:hAnsi="Arial Black" w:cs="Arial Black"/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widowControl/>
      <w:jc w:val="both"/>
    </w:pPr>
    <w:rPr>
      <w:rFonts w:ascii="Arial Black" w:hAnsi="Arial Black" w:cs="Arial Black"/>
      <w:color w:val="0000FF"/>
      <w:sz w:val="16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2002-01-28T21:04:00Z</dcterms:created>
  <dc:creator>Eric Boyt</dc:creator>
  <dc:description/>
  <dc:language>en-CA</dc:language>
  <cp:lastModifiedBy>Eric Boyt</cp:lastModifiedBy>
  <cp:lastPrinted>2002-01-29T08:37:00Z</cp:lastPrinted>
  <dcterms:modified xsi:type="dcterms:W3CDTF">2002-01-29T12:07:00Z</dcterms:modified>
  <cp:revision>19</cp:revision>
  <dc:subject/>
  <dc:title>Counterparty:</dc:title>
</cp:coreProperties>
</file>