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start="1080" w:end="0"/>
        <w:jc w:val="both"/>
        <w:rPr>
          <w:rFonts w:ascii="Arial" w:hAnsi="Arial" w:cs="Arial"/>
          <w:b/>
          <w:color w:val="0000FF"/>
          <w:sz w:val="28"/>
        </w:rPr>
      </w:pPr>
      <w:r>
        <w:rPr>
          <w:rFonts w:cs="Arial" w:ascii="Arial" w:hAnsi="Arial"/>
          <w:b/>
          <w:color w:val="0000FF"/>
          <w:sz w:val="28"/>
        </w:rPr>
      </w:r>
    </w:p>
    <w:p>
      <w:pPr>
        <w:pStyle w:val="Normal"/>
        <w:autoSpaceDE w:val="false"/>
        <w:ind w:start="1080" w:end="0"/>
        <w:jc w:val="both"/>
        <w:rPr>
          <w:rFonts w:ascii="Arial" w:hAnsi="Arial" w:cs="Arial"/>
          <w:b/>
          <w:color w:val="0000FF"/>
          <w:sz w:val="28"/>
        </w:rPr>
      </w:pPr>
      <w:r>
        <w:rPr>
          <w:rFonts w:cs="Arial" w:ascii="Arial" w:hAnsi="Arial"/>
          <w:b/>
          <w:color w:val="0000FF"/>
          <w:sz w:val="28"/>
        </w:rPr>
        <w:t>External Customer Cover Letter Template</w:t>
      </w:r>
    </w:p>
    <w:p>
      <w:pPr>
        <w:pStyle w:val="Normal"/>
        <w:autoSpaceDE w:val="false"/>
        <w:ind w:start="1080" w:end="0"/>
        <w:jc w:val="both"/>
        <w:rPr>
          <w:rFonts w:ascii="Arial" w:hAnsi="Arial" w:cs="Arial"/>
          <w:b/>
          <w:color w:val="0000FF"/>
          <w:sz w:val="20"/>
        </w:rPr>
      </w:pPr>
      <w:r>
        <w:rPr>
          <w:rFonts w:cs="Arial" w:ascii="Arial" w:hAnsi="Arial"/>
          <w:b/>
          <w:color w:val="0000FF"/>
          <w:sz w:val="20"/>
        </w:rPr>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ab/>
        <w:tab/>
        <w:tab/>
        <w:tab/>
        <w:tab/>
        <w:tab/>
        <w:tab/>
        <w:tab/>
        <w:tab/>
        <w:t>[Insert Date]</w:t>
      </w:r>
    </w:p>
    <w:p>
      <w:pPr>
        <w:pStyle w:val="Normal"/>
        <w:autoSpaceDE w:val="false"/>
        <w:ind w:start="1080" w:end="0"/>
        <w:jc w:val="both"/>
        <w:rPr>
          <w:rFonts w:ascii="Arial" w:hAnsi="Arial" w:cs="Arial"/>
          <w:sz w:val="20"/>
        </w:rPr>
      </w:pPr>
      <w:r>
        <w:rPr>
          <w:rFonts w:cs="Arial" w:ascii="Arial" w:hAnsi="Arial"/>
          <w:sz w:val="20"/>
        </w:rPr>
        <w:t>[Insert Customer Name]:</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pPr>
      <w:r>
        <w:rPr>
          <w:rFonts w:cs="Arial" w:ascii="Arial" w:hAnsi="Arial"/>
          <w:sz w:val="20"/>
        </w:rPr>
        <w:t xml:space="preserve">UBS AG has announced its intent to enter the natural gas and power markets in North America.  The new business will be a part of UBS Warburg, a business group of UBS AG which is a leader in equities, corporate finance, M&amp;A advisory and financing, financial structuring, fixed income issuance and trading, foreign exchange, derivatives and risk management.  UBS plans to launch a new energy trading web site, www.ubswenergy.com, in February 2002, as soon as possible following regulatory approval and consummation of the acquisition. </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 xml:space="preserve">This package has been prepared for you to outline several ways in which you might wish to transact in energy with UBS AG and provides a brief background to UBS Warburg Energy LLC. </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This package contains the following information:</w:t>
      </w:r>
    </w:p>
    <w:p>
      <w:pPr>
        <w:pStyle w:val="Normal"/>
        <w:autoSpaceDE w:val="false"/>
        <w:ind w:start="1080" w:end="0"/>
        <w:jc w:val="both"/>
        <w:rPr>
          <w:rFonts w:ascii="Arial" w:hAnsi="Arial" w:cs="Arial"/>
          <w:b/>
          <w:bCs/>
          <w:sz w:val="20"/>
        </w:rPr>
      </w:pPr>
      <w:r>
        <w:rPr>
          <w:rFonts w:cs="Arial" w:ascii="Arial" w:hAnsi="Arial"/>
          <w:b/>
          <w:bCs/>
          <w:sz w:val="20"/>
        </w:rPr>
      </w:r>
    </w:p>
    <w:p>
      <w:pPr>
        <w:pStyle w:val="Normal"/>
        <w:numPr>
          <w:ilvl w:val="0"/>
          <w:numId w:val="3"/>
        </w:numPr>
        <w:autoSpaceDE w:val="false"/>
        <w:jc w:val="both"/>
        <w:rPr>
          <w:rFonts w:ascii="Arial" w:hAnsi="Arial" w:cs="Arial"/>
          <w:sz w:val="20"/>
        </w:rPr>
      </w:pPr>
      <w:r>
        <w:rPr>
          <w:rFonts w:cs="Arial" w:ascii="Arial" w:hAnsi="Arial"/>
          <w:b/>
          <w:bCs/>
          <w:sz w:val="20"/>
        </w:rPr>
        <w:t>Online Application</w:t>
      </w:r>
      <w:r>
        <w:rPr>
          <w:rFonts w:cs="Arial" w:ascii="Arial" w:hAnsi="Arial"/>
          <w:sz w:val="20"/>
        </w:rPr>
        <w:t xml:space="preserve"> </w:t>
      </w:r>
    </w:p>
    <w:p>
      <w:pPr>
        <w:pStyle w:val="Normal"/>
        <w:autoSpaceDE w:val="false"/>
        <w:ind w:start="1080" w:end="0"/>
        <w:jc w:val="both"/>
        <w:rPr>
          <w:rFonts w:ascii="Arial" w:hAnsi="Arial" w:cs="Arial"/>
          <w:sz w:val="20"/>
        </w:rPr>
      </w:pPr>
      <w:r>
        <w:rPr>
          <w:rFonts w:cs="Arial" w:ascii="Arial" w:hAnsi="Arial"/>
          <w:sz w:val="20"/>
        </w:rPr>
      </w:r>
    </w:p>
    <w:p>
      <w:pPr>
        <w:pStyle w:val="Normal"/>
        <w:numPr>
          <w:ilvl w:val="1"/>
          <w:numId w:val="3"/>
        </w:numPr>
        <w:tabs>
          <w:tab w:val="clear" w:pos="720"/>
          <w:tab w:val="left" w:pos="1800" w:leader="none"/>
        </w:tabs>
        <w:autoSpaceDE w:val="false"/>
        <w:ind w:hanging="720" w:start="1800" w:end="0"/>
        <w:jc w:val="both"/>
        <w:rPr>
          <w:rFonts w:ascii="Arial" w:hAnsi="Arial" w:cs="Arial"/>
          <w:sz w:val="20"/>
        </w:rPr>
      </w:pPr>
      <w:r>
        <w:rPr>
          <w:rFonts w:cs="Arial" w:ascii="Arial" w:hAnsi="Arial"/>
          <w:sz w:val="20"/>
        </w:rPr>
        <w:t>Password Application</w:t>
      </w:r>
    </w:p>
    <w:p>
      <w:pPr>
        <w:pStyle w:val="Normal"/>
        <w:numPr>
          <w:ilvl w:val="1"/>
          <w:numId w:val="3"/>
        </w:numPr>
        <w:tabs>
          <w:tab w:val="clear" w:pos="720"/>
          <w:tab w:val="left" w:pos="1800" w:leader="none"/>
        </w:tabs>
        <w:autoSpaceDE w:val="false"/>
        <w:ind w:hanging="720" w:start="1800" w:end="0"/>
        <w:jc w:val="both"/>
        <w:rPr>
          <w:rFonts w:ascii="Arial" w:hAnsi="Arial" w:cs="Arial"/>
          <w:sz w:val="20"/>
        </w:rPr>
      </w:pPr>
      <w:r>
        <w:rPr>
          <w:rFonts w:cs="Arial" w:ascii="Arial" w:hAnsi="Arial"/>
          <w:sz w:val="20"/>
        </w:rPr>
        <w:t>Registration Form</w:t>
      </w:r>
    </w:p>
    <w:p>
      <w:pPr>
        <w:pStyle w:val="Normal"/>
        <w:autoSpaceDE w:val="false"/>
        <w:jc w:val="both"/>
        <w:rPr>
          <w:rFonts w:ascii="Arial" w:hAnsi="Arial" w:cs="Arial"/>
          <w:sz w:val="20"/>
        </w:rPr>
      </w:pPr>
      <w:r>
        <w:rPr>
          <w:rFonts w:cs="Arial" w:ascii="Arial" w:hAnsi="Arial"/>
          <w:sz w:val="20"/>
        </w:rPr>
      </w:r>
    </w:p>
    <w:p>
      <w:pPr>
        <w:pStyle w:val="Normal"/>
        <w:autoSpaceDE w:val="false"/>
        <w:ind w:start="1080" w:end="0"/>
        <w:jc w:val="both"/>
        <w:rPr/>
      </w:pPr>
      <w:r>
        <w:rPr>
          <w:rFonts w:cs="Arial" w:ascii="Arial" w:hAnsi="Arial"/>
          <w:sz w:val="20"/>
        </w:rPr>
        <w:t xml:space="preserve">In order to access </w:t>
      </w:r>
      <w:hyperlink r:id="rId2">
        <w:r>
          <w:rPr>
            <w:rStyle w:val="Hyperlink"/>
            <w:rFonts w:cs="Arial" w:ascii="Arial" w:hAnsi="Arial"/>
            <w:sz w:val="20"/>
          </w:rPr>
          <w:t>www.ubswenergy.com</w:t>
        </w:r>
      </w:hyperlink>
      <w:r>
        <w:rPr>
          <w:rFonts w:cs="Arial" w:ascii="Arial" w:hAnsi="Arial"/>
          <w:sz w:val="20"/>
        </w:rPr>
        <w:t xml:space="preserve">, a Password Application has to be completed.  The Password Application combined with the Electronic Trading Agreement (currently available at </w:t>
      </w:r>
      <w:hyperlink r:id="rId3">
        <w:r>
          <w:rPr>
            <w:rStyle w:val="Hyperlink"/>
            <w:rFonts w:cs="Arial" w:ascii="Arial" w:hAnsi="Arial"/>
            <w:sz w:val="20"/>
          </w:rPr>
          <w:t>www.ubswenergy.com</w:t>
        </w:r>
      </w:hyperlink>
      <w:r>
        <w:rPr>
          <w:rFonts w:cs="Arial" w:ascii="Arial" w:hAnsi="Arial"/>
          <w:sz w:val="20"/>
        </w:rPr>
        <w:t xml:space="preserve">) form the documentation governing usage of the website.  All transactions entered into through the website are governed by either the online General Terms and Conditions (GTC) which can be read and accepted online, or by a Master Agreement entered into between UBS AG and yourselves. </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pPr>
      <w:r>
        <w:rPr>
          <w:rFonts w:cs="Arial" w:ascii="Arial" w:hAnsi="Arial"/>
          <w:sz w:val="20"/>
        </w:rPr>
        <w:t xml:space="preserve">To obtain access to the website, please complete the Password Application, Registration form and Authorisation letter. Copies of these documents are enclosed. You can also download these documents from </w:t>
      </w:r>
      <w:hyperlink r:id="rId4">
        <w:r>
          <w:rPr>
            <w:rStyle w:val="Hyperlink"/>
            <w:rFonts w:cs="Arial" w:ascii="Arial" w:hAnsi="Arial"/>
            <w:sz w:val="20"/>
          </w:rPr>
          <w:t>www.ubswenergy.com</w:t>
        </w:r>
      </w:hyperlink>
      <w:r>
        <w:rPr>
          <w:rFonts w:cs="Arial" w:ascii="Arial" w:hAnsi="Arial"/>
          <w:sz w:val="20"/>
        </w:rPr>
        <w:t>.</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b/>
          <w:bCs/>
          <w:sz w:val="20"/>
        </w:rPr>
      </w:pPr>
      <w:r>
        <w:rPr>
          <w:rFonts w:cs="Arial" w:ascii="Arial" w:hAnsi="Arial"/>
          <w:b/>
          <w:bCs/>
          <w:sz w:val="20"/>
        </w:rPr>
      </w:r>
    </w:p>
    <w:p>
      <w:pPr>
        <w:pStyle w:val="Normal"/>
        <w:autoSpaceDE w:val="false"/>
        <w:ind w:start="1080" w:end="0"/>
        <w:jc w:val="both"/>
        <w:rPr>
          <w:rFonts w:ascii="Arial" w:hAnsi="Arial" w:cs="Arial"/>
          <w:b/>
          <w:bCs/>
          <w:sz w:val="20"/>
        </w:rPr>
      </w:pPr>
      <w:r>
        <w:rPr>
          <w:rFonts w:cs="Arial" w:ascii="Arial" w:hAnsi="Arial"/>
          <w:b/>
          <w:bCs/>
          <w:sz w:val="20"/>
        </w:rPr>
        <w:t>2.</w:t>
        <w:tab/>
        <w:t>Master Agreements</w:t>
      </w:r>
    </w:p>
    <w:p>
      <w:pPr>
        <w:pStyle w:val="Normal"/>
        <w:autoSpaceDE w:val="false"/>
        <w:ind w:start="1080" w:end="0"/>
        <w:jc w:val="both"/>
        <w:rPr>
          <w:rFonts w:ascii="Arial" w:hAnsi="Arial" w:cs="Arial"/>
          <w:sz w:val="20"/>
        </w:rPr>
      </w:pPr>
      <w:r>
        <w:rPr>
          <w:rFonts w:cs="Arial" w:ascii="Arial" w:hAnsi="Arial"/>
          <w:sz w:val="20"/>
        </w:rPr>
      </w:r>
    </w:p>
    <w:p>
      <w:pPr>
        <w:pStyle w:val="BodyTextIndent2"/>
        <w:rPr/>
      </w:pPr>
      <w:r>
        <w:rPr/>
        <w:t>If you would prefer to transact under a Master Agreement or if you would prefer to have your online transactions governed by a Master Agreement instead of the GTC, we can enter into Master Agreements with UBS AG, draft copies of which are enclosed along with a Credit Worksheet specific to your organization which would be incorporated into the agreements.</w:t>
      </w:r>
    </w:p>
    <w:p>
      <w:pPr>
        <w:pStyle w:val="Normal"/>
        <w:autoSpaceDE w:val="false"/>
        <w:ind w:start="1440" w:end="0"/>
        <w:jc w:val="both"/>
        <w:rPr>
          <w:rFonts w:ascii="Arial" w:hAnsi="Arial" w:cs="Arial"/>
          <w:sz w:val="20"/>
        </w:rPr>
      </w:pPr>
      <w:r>
        <w:rPr>
          <w:rFonts w:cs="Arial" w:ascii="Arial" w:hAnsi="Arial"/>
          <w:sz w:val="20"/>
        </w:rPr>
      </w:r>
    </w:p>
    <w:p>
      <w:pPr>
        <w:pStyle w:val="Normal"/>
        <w:numPr>
          <w:ilvl w:val="0"/>
          <w:numId w:val="4"/>
        </w:numPr>
        <w:autoSpaceDE w:val="false"/>
        <w:jc w:val="both"/>
        <w:rPr>
          <w:rFonts w:ascii="Arial" w:hAnsi="Arial" w:cs="Arial"/>
          <w:sz w:val="20"/>
        </w:rPr>
      </w:pPr>
      <w:r>
        <w:rPr>
          <w:rFonts w:cs="Arial" w:ascii="Arial" w:hAnsi="Arial"/>
          <w:sz w:val="20"/>
        </w:rPr>
        <w:t>Draft Master Agreement for Financial Transactions (ISDA)</w:t>
      </w:r>
    </w:p>
    <w:p>
      <w:pPr>
        <w:pStyle w:val="Normal"/>
        <w:numPr>
          <w:ilvl w:val="0"/>
          <w:numId w:val="4"/>
        </w:numPr>
        <w:autoSpaceDE w:val="false"/>
        <w:jc w:val="both"/>
        <w:rPr>
          <w:rFonts w:ascii="Arial" w:hAnsi="Arial" w:cs="Arial"/>
          <w:sz w:val="20"/>
        </w:rPr>
      </w:pPr>
      <w:r>
        <w:rPr>
          <w:rFonts w:cs="Arial" w:ascii="Arial" w:hAnsi="Arial"/>
          <w:sz w:val="20"/>
        </w:rPr>
        <w:t>Draft Master Agreement for Physical Power Transactions (EEI)</w:t>
      </w:r>
    </w:p>
    <w:p>
      <w:pPr>
        <w:pStyle w:val="Normal"/>
        <w:numPr>
          <w:ilvl w:val="0"/>
          <w:numId w:val="4"/>
        </w:numPr>
        <w:autoSpaceDE w:val="false"/>
        <w:jc w:val="both"/>
        <w:rPr>
          <w:rFonts w:ascii="Arial" w:hAnsi="Arial" w:cs="Arial"/>
          <w:sz w:val="20"/>
        </w:rPr>
      </w:pPr>
      <w:r>
        <w:rPr>
          <w:rFonts w:cs="Arial" w:ascii="Arial" w:hAnsi="Arial"/>
          <w:sz w:val="20"/>
        </w:rPr>
        <w:t>Draft Master Agreement for Physical Gas Transactions</w:t>
      </w:r>
    </w:p>
    <w:p>
      <w:pPr>
        <w:pStyle w:val="Normal"/>
        <w:autoSpaceDE w:val="false"/>
        <w:jc w:val="both"/>
        <w:rPr>
          <w:rFonts w:ascii="Arial" w:hAnsi="Arial" w:cs="Arial"/>
          <w:sz w:val="20"/>
        </w:rPr>
      </w:pPr>
      <w:r>
        <w:rPr>
          <w:rFonts w:cs="Arial" w:ascii="Arial" w:hAnsi="Arial"/>
          <w:sz w:val="20"/>
        </w:rPr>
      </w:r>
    </w:p>
    <w:p>
      <w:pPr>
        <w:pStyle w:val="Normal"/>
        <w:autoSpaceDE w:val="false"/>
        <w:jc w:val="both"/>
        <w:rPr>
          <w:rFonts w:ascii="Arial" w:hAnsi="Arial" w:cs="Arial"/>
          <w:sz w:val="20"/>
        </w:rPr>
      </w:pPr>
      <w:r>
        <w:rPr>
          <w:rFonts w:cs="Arial" w:ascii="Arial" w:hAnsi="Arial"/>
          <w:sz w:val="20"/>
        </w:rPr>
      </w:r>
    </w:p>
    <w:p>
      <w:pPr>
        <w:pStyle w:val="Normal"/>
        <w:autoSpaceDE w:val="false"/>
        <w:ind w:start="72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b/>
          <w:bCs/>
          <w:sz w:val="20"/>
        </w:rPr>
      </w:pPr>
      <w:r>
        <w:rPr>
          <w:rFonts w:cs="Arial" w:ascii="Arial" w:hAnsi="Arial"/>
          <w:b/>
          <w:bCs/>
          <w:sz w:val="20"/>
        </w:rPr>
        <w:t xml:space="preserve">3. </w:t>
        <w:tab/>
        <w:t>Interim Master Terms Agreement</w:t>
      </w:r>
    </w:p>
    <w:p>
      <w:pPr>
        <w:pStyle w:val="Normal"/>
        <w:autoSpaceDE w:val="false"/>
        <w:ind w:start="1080" w:end="0"/>
        <w:jc w:val="both"/>
        <w:rPr>
          <w:rFonts w:ascii="Arial" w:hAnsi="Arial" w:cs="Arial"/>
          <w:b/>
          <w:bCs/>
          <w:sz w:val="20"/>
        </w:rPr>
      </w:pPr>
      <w:r>
        <w:rPr>
          <w:rFonts w:cs="Arial" w:ascii="Arial" w:hAnsi="Arial"/>
          <w:b/>
          <w:bCs/>
          <w:sz w:val="20"/>
        </w:rPr>
      </w:r>
    </w:p>
    <w:p>
      <w:pPr>
        <w:pStyle w:val="Normal"/>
        <w:tabs>
          <w:tab w:val="clear" w:pos="720"/>
          <w:tab w:val="left" w:pos="1800" w:leader="none"/>
        </w:tabs>
        <w:autoSpaceDE w:val="false"/>
        <w:ind w:start="1080" w:end="0"/>
        <w:jc w:val="both"/>
        <w:rPr>
          <w:rFonts w:ascii="Arial" w:hAnsi="Arial" w:cs="Arial"/>
          <w:sz w:val="20"/>
        </w:rPr>
      </w:pPr>
      <w:r>
        <w:rPr>
          <w:rFonts w:cs="Arial" w:ascii="Arial" w:hAnsi="Arial"/>
          <w:sz w:val="20"/>
        </w:rPr>
        <w:t>(i)</w:t>
        <w:tab/>
        <w:t>Consent Letter</w:t>
      </w:r>
    </w:p>
    <w:p>
      <w:pPr>
        <w:pStyle w:val="Normal"/>
        <w:numPr>
          <w:ilvl w:val="0"/>
          <w:numId w:val="2"/>
        </w:numPr>
        <w:autoSpaceDE w:val="false"/>
        <w:jc w:val="both"/>
        <w:rPr>
          <w:rFonts w:ascii="Arial" w:hAnsi="Arial" w:cs="Arial"/>
          <w:sz w:val="20"/>
        </w:rPr>
      </w:pPr>
      <w:r>
        <w:rPr>
          <w:rFonts w:cs="Arial" w:ascii="Arial" w:hAnsi="Arial"/>
          <w:sz w:val="20"/>
        </w:rPr>
        <w:t>Draft Interim Master Terms Agreement</w:t>
      </w:r>
    </w:p>
    <w:p>
      <w:pPr>
        <w:pStyle w:val="Normal"/>
        <w:autoSpaceDE w:val="false"/>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 xml:space="preserve">In order to facilitate transactions between yourselves and UBS AG in a shorter timeframe, UBS AG would be willing for a short period of time (90 days) to adopt similar terms and conditions to the Master Agreement you had with Enron.  UBS AG would be willing to do this for a ninety day period after which time it is envisaged that a new Master would be completed between the two companies.  As your prior Master Agreement with Enron is subject to the confidentiality arrangements between yourselves and Enron, you will need to sign the enclosed Consent Letter so that we can prepare an Interim Master Terms Agreement. </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The Adoption Agreement is likely to be similar to the draft that we have enclosed.</w:t>
      </w:r>
    </w:p>
    <w:p>
      <w:pPr>
        <w:pStyle w:val="Normal"/>
        <w:autoSpaceDE w:val="false"/>
        <w:ind w:start="1080" w:end="0"/>
        <w:jc w:val="both"/>
        <w:rPr>
          <w:rFonts w:ascii="Arial" w:hAnsi="Arial" w:cs="Arial"/>
          <w:sz w:val="20"/>
        </w:rPr>
      </w:pPr>
      <w:r>
        <w:rPr>
          <w:rFonts w:cs="Arial" w:ascii="Arial" w:hAnsi="Arial"/>
          <w:sz w:val="20"/>
        </w:rPr>
      </w:r>
    </w:p>
    <w:p>
      <w:pPr>
        <w:pStyle w:val="Normal"/>
        <w:numPr>
          <w:ilvl w:val="0"/>
          <w:numId w:val="5"/>
        </w:numPr>
        <w:autoSpaceDE w:val="false"/>
        <w:jc w:val="both"/>
        <w:rPr>
          <w:rFonts w:ascii="Arial" w:hAnsi="Arial" w:cs="Arial"/>
          <w:sz w:val="20"/>
        </w:rPr>
      </w:pPr>
      <w:r>
        <w:rPr>
          <w:rFonts w:cs="Arial" w:ascii="Arial" w:hAnsi="Arial"/>
          <w:sz w:val="20"/>
        </w:rPr>
        <w:t>Contact List</w:t>
      </w:r>
    </w:p>
    <w:p>
      <w:pPr>
        <w:pStyle w:val="Normal"/>
        <w:autoSpaceDE w:val="false"/>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 xml:space="preserve">A contact list is enclosed to facilitate communication between UBS AG and yourselves.  </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t>We want to assure you that your relationship with UBS will be managed with the utmost care.  If you have questions about the documents, website or the registration process, please feel free to call one of the people on the enclosed contacts list.</w:t>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ind w:start="1080" w:end="0"/>
        <w:jc w:val="both"/>
        <w:rPr>
          <w:rFonts w:ascii="Arial" w:hAnsi="Arial" w:cs="Arial"/>
          <w:sz w:val="20"/>
        </w:rPr>
      </w:pPr>
      <w:r>
        <w:rPr>
          <w:rFonts w:cs="Arial" w:ascii="Arial" w:hAnsi="Arial"/>
          <w:sz w:val="20"/>
        </w:rPr>
      </w:r>
    </w:p>
    <w:p>
      <w:pPr>
        <w:pStyle w:val="Normal"/>
        <w:autoSpaceDE w:val="false"/>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800"/>
        </w:tabs>
        <w:ind w:start="1800" w:hanging="720"/>
      </w:pPr>
      <w:rPr/>
    </w:lvl>
  </w:abstractNum>
  <w:abstractNum w:abstractNumId="3">
    <w:lvl w:ilvl="0">
      <w:start w:val="1"/>
      <w:numFmt w:val="decimal"/>
      <w:lvlText w:val="%1."/>
      <w:lvlJc w:val="start"/>
      <w:pPr>
        <w:tabs>
          <w:tab w:val="num" w:pos="1440"/>
        </w:tabs>
        <w:ind w:start="1440" w:hanging="360"/>
      </w:pPr>
      <w:rPr/>
    </w:lvl>
    <w:lvl w:ilvl="1">
      <w:start w:val="1"/>
      <w:numFmt w:val="lowerRoman"/>
      <w:lvlText w:val="(%2)"/>
      <w:lvlJc w:val="start"/>
      <w:pPr>
        <w:tabs>
          <w:tab w:val="num" w:pos="2520"/>
        </w:tabs>
        <w:ind w:start="2520" w:hanging="720"/>
      </w:pPr>
      <w:r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4">
    <w:lvl w:ilvl="0">
      <w:start w:val="1"/>
      <w:numFmt w:val="lowerRoman"/>
      <w:lvlText w:val="(%1)"/>
      <w:lvlJc w:val="start"/>
      <w:pPr>
        <w:tabs>
          <w:tab w:val="num" w:pos="1800"/>
        </w:tabs>
        <w:ind w:start="1800" w:hanging="720"/>
      </w:pPr>
      <w:rPr/>
    </w:lvl>
  </w:abstractNum>
  <w:abstractNum w:abstractNumId="5">
    <w:lvl w:ilvl="0">
      <w:start w:val="4"/>
      <w:numFmt w:val="decimal"/>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0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autoSpaceDE w:val="false"/>
      <w:ind w:hanging="0" w:start="1080" w:end="0"/>
      <w:outlineLvl w:val="1"/>
    </w:pPr>
    <w:rPr>
      <w:rFonts w:ascii="Arial" w:hAnsi="Arial" w:cs="Arial"/>
      <w:b/>
      <w:bCs/>
      <w:color w:val="3366FF"/>
      <w:sz w:val="20"/>
    </w:rPr>
  </w:style>
  <w:style w:type="paragraph" w:styleId="Heading3">
    <w:name w:val="heading 3"/>
    <w:basedOn w:val="Normal"/>
    <w:next w:val="Normal"/>
    <w:qFormat/>
    <w:pPr>
      <w:keepNext w:val="true"/>
      <w:numPr>
        <w:ilvl w:val="2"/>
        <w:numId w:val="1"/>
      </w:numPr>
      <w:autoSpaceDE w:val="false"/>
      <w:ind w:hanging="0" w:start="1080" w:end="0"/>
      <w:outlineLvl w:val="2"/>
    </w:pPr>
    <w:rPr>
      <w:rFonts w:ascii="Arial" w:hAnsi="Arial" w:cs="Arial"/>
      <w:b/>
      <w:bCs/>
      <w:color w:val="0000FF"/>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108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autoSpaceDE w:val="false"/>
      <w:ind w:hanging="0" w:start="1080" w:end="0"/>
      <w:jc w:val="both"/>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wenergy.com/" TargetMode="External"/><Relationship Id="rId3" Type="http://schemas.openxmlformats.org/officeDocument/2006/relationships/hyperlink" Target="http://www.ubswenergy.com/" TargetMode="External"/><Relationship Id="rId4" Type="http://schemas.openxmlformats.org/officeDocument/2006/relationships/hyperlink" Target="http://www.ubswenerg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2002-02-05T12:25:00Z</dcterms:created>
  <dc:creator>ddiamon</dc:creator>
  <dc:description/>
  <dc:language>en-CA</dc:language>
  <cp:lastModifiedBy>Louise Kitchen</cp:lastModifiedBy>
  <cp:lastPrinted>2002-02-04T18:28:00Z</cp:lastPrinted>
  <dcterms:modified xsi:type="dcterms:W3CDTF">2002-02-05T12:25:00Z</dcterms:modified>
  <cp:revision>2</cp:revision>
  <dc:subject/>
  <dc:title>External Customer Cover Letter Template</dc:title>
</cp:coreProperties>
</file>