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Supporting Information</w:t>
      </w:r>
    </w:p>
    <w:p>
      <w:pPr>
        <w:pStyle w:val="Heading"/>
        <w:rPr/>
      </w:pPr>
      <w:r>
        <w:rPr/>
        <w:t>Document 3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Incremental Monthly Marginal Fuel Calculation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The  “proxy for incremental monthly marginal fuel costs” will be calculated monthly for each path as follows:</w:t>
      </w:r>
    </w:p>
    <w:p>
      <w:pPr>
        <w:pStyle w:val="Normal"/>
        <w:ind w:start="1440" w:end="0"/>
        <w:rPr>
          <w:sz w:val="24"/>
        </w:rPr>
      </w:pPr>
      <w:r>
        <w:rPr>
          <w:sz w:val="24"/>
        </w:rPr>
      </w:r>
    </w:p>
    <w:p>
      <w:pPr>
        <w:pStyle w:val="Normal"/>
        <w:ind w:hanging="360" w:start="2160" w:end="0"/>
        <w:rPr>
          <w:sz w:val="24"/>
        </w:rPr>
      </w:pPr>
      <w:r>
        <w:rPr>
          <w:sz w:val="24"/>
        </w:rPr>
        <w:t>1)</w:t>
        <w:tab/>
        <w:t>21%</w:t>
      </w:r>
    </w:p>
    <w:p>
      <w:pPr>
        <w:pStyle w:val="Normal"/>
        <w:ind w:start="2610" w:end="0"/>
        <w:rPr>
          <w:sz w:val="24"/>
        </w:rPr>
      </w:pPr>
      <w:r>
        <w:rPr>
          <w:sz w:val="24"/>
        </w:rPr>
        <w:t>(Based on average annual marginal fuel for Interruptible flows between 0 and 575 MMcfd from Empress to Parkway assuming 745 MMcfd of Interruptible flows to Emerson)</w:t>
      </w:r>
    </w:p>
    <w:p>
      <w:pPr>
        <w:pStyle w:val="Normal"/>
        <w:ind w:hanging="180" w:start="2790" w:end="0"/>
        <w:rPr>
          <w:sz w:val="24"/>
        </w:rPr>
      </w:pPr>
      <w:r>
        <w:rPr>
          <w:sz w:val="24"/>
        </w:rPr>
      </w:r>
    </w:p>
    <w:p>
      <w:pPr>
        <w:pStyle w:val="Normal"/>
        <w:ind w:hanging="360" w:start="2160" w:end="0"/>
        <w:rPr>
          <w:sz w:val="24"/>
        </w:rPr>
      </w:pPr>
      <w:r>
        <w:rPr>
          <w:sz w:val="24"/>
        </w:rPr>
        <w:t>2)</w:t>
        <w:tab/>
        <w:t xml:space="preserve">less  5.5%  </w:t>
      </w:r>
    </w:p>
    <w:p>
      <w:pPr>
        <w:pStyle w:val="Normal"/>
        <w:ind w:firstLine="720" w:start="2160" w:end="0"/>
        <w:rPr>
          <w:sz w:val="24"/>
        </w:rPr>
      </w:pPr>
      <w:r>
        <w:rPr>
          <w:sz w:val="24"/>
        </w:rPr>
        <w:t>(estimated average annual fuel ratio for Empress to Parkway)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360" w:start="2160" w:end="0"/>
        <w:rPr>
          <w:sz w:val="24"/>
        </w:rPr>
      </w:pPr>
      <w:r>
        <w:rPr>
          <w:sz w:val="24"/>
        </w:rPr>
        <w:t>3)</w:t>
        <w:tab/>
        <w:t>multiplied by the sum of:</w:t>
      </w:r>
    </w:p>
    <w:p>
      <w:pPr>
        <w:pStyle w:val="Normal"/>
        <w:ind w:hanging="360" w:start="2880" w:end="0"/>
        <w:rPr>
          <w:sz w:val="24"/>
        </w:rPr>
      </w:pPr>
      <w:r>
        <w:rPr>
          <w:sz w:val="24"/>
        </w:rPr>
        <w:t>a)  the forward month AECO price as published in the Canadian Gas Price Reporter (CGPR) at the end of bid week, and</w:t>
      </w:r>
    </w:p>
    <w:p>
      <w:pPr>
        <w:pStyle w:val="Normal"/>
        <w:ind w:hanging="360" w:start="2880" w:end="0"/>
        <w:rPr>
          <w:sz w:val="24"/>
        </w:rPr>
      </w:pPr>
      <w:r>
        <w:rPr>
          <w:sz w:val="24"/>
        </w:rPr>
        <w:t>b)  the NGTL FTD toll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360" w:start="2160" w:end="0"/>
        <w:rPr>
          <w:sz w:val="24"/>
        </w:rPr>
      </w:pPr>
      <w:r>
        <w:rPr>
          <w:sz w:val="24"/>
        </w:rPr>
        <w:t>4)  divided by the Empress to Eastern Zone 100% load factor FT toll</w:t>
      </w:r>
    </w:p>
    <w:p>
      <w:pPr>
        <w:pStyle w:val="Normal"/>
        <w:ind w:hanging="720" w:start="2160" w:end="0"/>
        <w:rPr>
          <w:sz w:val="24"/>
        </w:rPr>
      </w:pPr>
      <w:r>
        <w:rPr>
          <w:sz w:val="24"/>
        </w:rPr>
      </w:r>
    </w:p>
    <w:p>
      <w:pPr>
        <w:pStyle w:val="Normal"/>
        <w:ind w:hanging="360" w:start="2160" w:end="0"/>
        <w:rPr>
          <w:sz w:val="24"/>
        </w:rPr>
      </w:pPr>
      <w:r>
        <w:rPr>
          <w:sz w:val="24"/>
        </w:rPr>
        <w:t>5)  multiplied by the 100% load factor FT toll for each I.T. path</w:t>
      </w:r>
    </w:p>
    <w:p>
      <w:pPr>
        <w:pStyle w:val="Normal"/>
        <w:ind w:hanging="720" w:start="216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where  “contribution to fixed costs” equals: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hanging="360" w:start="2160" w:end="0"/>
        <w:rPr>
          <w:sz w:val="24"/>
        </w:rPr>
      </w:pPr>
      <w:r>
        <w:rPr>
          <w:sz w:val="24"/>
        </w:rPr>
        <w:t>1)</w:t>
        <w:tab/>
        <w:t>4.0% (based on 5 cents/GJ divided by the Empress to East Hereford FT Daily Demand toll)</w:t>
      </w:r>
    </w:p>
    <w:p>
      <w:pPr>
        <w:pStyle w:val="Normal"/>
        <w:ind w:hanging="360" w:start="21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muliplied by the Daily Demand toll for each I.T. path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)"/>
      <w:lvlJc w:val="start"/>
      <w:pPr>
        <w:tabs>
          <w:tab w:val="num" w:pos="2160"/>
        </w:tabs>
        <w:ind w:start="21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ind w:hanging="0" w:start="720" w:end="0"/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2001-02-12T18:17:00Z</dcterms:created>
  <dc:creator>Jim_Bartlett</dc:creator>
  <dc:description/>
  <dc:language>en-CA</dc:language>
  <cp:lastModifiedBy>Jim_Bartlett</cp:lastModifiedBy>
  <dcterms:modified xsi:type="dcterms:W3CDTF">2001-02-12T19:48:00Z</dcterms:modified>
  <cp:revision>6</cp:revision>
  <dc:subject/>
  <dc:title/>
</cp:coreProperties>
</file>