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start="1440" w:end="0"/>
        <w:jc w:val="start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Supporting Information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Document 2</w:t>
      </w:r>
    </w:p>
    <w:p>
      <w:pPr>
        <w:pStyle w:val="Heading"/>
        <w:rPr>
          <w:b w:val="false"/>
          <w:sz w:val="32"/>
        </w:rPr>
      </w:pPr>
      <w:r>
        <w:rPr>
          <w:b w:val="false"/>
          <w:sz w:val="32"/>
        </w:rPr>
      </w:r>
    </w:p>
    <w:p>
      <w:pPr>
        <w:pStyle w:val="Heading"/>
        <w:rPr/>
      </w:pPr>
      <w:r>
        <w:rPr/>
        <w:t>Revenue Incentive/Asset Management Mechanism Example</w:t>
      </w:r>
    </w:p>
    <w:p>
      <w:pPr>
        <w:pStyle w:val="Heading1"/>
        <w:spacing w:before="0" w:after="0"/>
        <w:ind w:hanging="0" w:start="0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rPr>
          <w:rFonts w:ascii="Times New Roman" w:hAnsi="Times New Roman" w:cs="Times New Roman"/>
          <w:kern w:val="0"/>
        </w:rPr>
      </w:pPr>
      <w:r>
        <w:rPr>
          <w:rFonts w:cs="Times New Roman"/>
          <w:kern w:val="0"/>
        </w:rPr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For illustrative purposes TransCanada has included an example of the commissions based on the 2000 actual Miscellaneous Discretionary Revenues and the commission percentages stated in the Revenue Incentive /Asset Management Mechanism portion of the Statement of Principles.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ab/>
      </w:r>
    </w:p>
    <w:tbl>
      <w:tblPr>
        <w:tblW w:w="873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890"/>
        <w:gridCol w:w="1710"/>
        <w:gridCol w:w="1710"/>
      </w:tblGrid>
      <w:tr>
        <w:trPr/>
        <w:tc>
          <w:tcPr>
            <w:tcW w:w="342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 xml:space="preserve">Misc. Disc. </w:t>
            </w:r>
            <w:r>
              <w:rPr>
                <w:sz w:val="24"/>
                <w:u w:val="single"/>
              </w:rPr>
              <w:t>Revenue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($ Millions)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Commission </w:t>
            </w:r>
            <w:r>
              <w:rPr>
                <w:sz w:val="24"/>
                <w:u w:val="single"/>
              </w:rPr>
              <w:t>Percentage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(%)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5"/>
              <w:ind w:hanging="0" w:start="0"/>
              <w:rPr/>
            </w:pPr>
            <w:r>
              <w:rPr/>
              <w:t>Commissions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($ Millions)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Interruptible Transportation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36.3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Short Term Firm Transportation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Net New Firm Transportation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20.0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19.4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7.0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Assignment of Assets </w:t>
            </w:r>
            <w:r>
              <w:rPr>
                <w:sz w:val="14"/>
              </w:rPr>
              <w:t>(See Note 1)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0.0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0.0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>66.3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>3.7</w:t>
            </w:r>
          </w:p>
        </w:tc>
      </w:tr>
    </w:tbl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Note 1: Assignment of assets for 2001 or 2002 could include the assignment of GLGT transportation.  For illustrative purposes, TransCanada’s commissions for assigning 150 MMcfd of GLGT capacity for 151 days at a rate of 5¢/U.S. would be approximately $370,000 US.</w:t>
      </w:r>
    </w:p>
    <w:sectPr>
      <w:headerReference w:type="default" r:id="rId2"/>
      <w:footerReference w:type="default" r:id="rId3"/>
      <w:type w:val="nextPage"/>
      <w:pgSz w:w="12240" w:h="15840"/>
      <w:pgMar w:left="1368" w:right="1368" w:gutter="0" w:header="720" w:top="1440" w:footer="720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February 12, 2001</w:t>
      <w:tab/>
    </w: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 xml:space="preserve"> of 1</w:t>
    </w:r>
  </w:p>
  <w:p>
    <w:pPr>
      <w:pStyle w:val="Footer"/>
      <w:rPr>
        <w:rStyle w:val="PageNumber"/>
        <w:lang w:eastAsia="en-US"/>
      </w:rPr>
    </w:pPr>
    <w:r>
      <w:rPr>
        <w:lang w:eastAsia="en-US"/>
      </w:rPr>
    </w:r>
  </w:p>
  <w:p>
    <w:pPr>
      <w:pStyle w:val="Footer"/>
      <w:rPr>
        <w:rStyle w:val="PageNumber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Privileged and Confidential – For Settlement Purposes Only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5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rFonts w:ascii="HELVETICA" w:hAnsi="HELVETICA" w:cs="HELVETICA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rFonts w:ascii="HELVETICA" w:hAnsi="HELVETICA" w:cs="HELVETICA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3z0">
    <w:name w:val="WW8Num23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Times New Roman" w:hAnsi="Times New Roman" w:cs="Times New Roman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color w:val="auto"/>
    </w:rPr>
  </w:style>
  <w:style w:type="character" w:styleId="WW8Num53z0">
    <w:name w:val="WW8Num53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Symbol" w:hAnsi="Symbol" w:cs="Symbol"/>
      <w:color w:val="auto"/>
    </w:rPr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/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  <w:color w:val="auto"/>
    </w:rPr>
  </w:style>
  <w:style w:type="character" w:styleId="WW8Num64z0">
    <w:name w:val="WW8Num64z0"/>
    <w:qFormat/>
    <w:rPr>
      <w:rFonts w:ascii="Symbol" w:hAnsi="Symbol" w:cs="Symbol"/>
      <w:color w:val="auto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Times New Roman" w:hAnsi="Times New Roman" w:cs="Times New Roman"/>
    </w:rPr>
  </w:style>
  <w:style w:type="character" w:styleId="WW8Num72z0">
    <w:name w:val="WW8Num72z0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right" w:pos="9504" w:leader="none"/>
      </w:tabs>
    </w:pPr>
    <w:rPr>
      <w:sz w:val="20"/>
    </w:rPr>
  </w:style>
  <w:style w:type="paragraph" w:styleId="Times36ptright">
    <w:name w:val="Times 36pt right"/>
    <w:basedOn w:val="Heading2"/>
    <w:next w:val="Normal"/>
    <w:qFormat/>
    <w:pPr>
      <w:numPr>
        <w:ilvl w:val="0"/>
        <w:numId w:val="0"/>
      </w:numPr>
      <w:jc w:val="end"/>
      <w:outlineLvl w:val="9"/>
    </w:pPr>
    <w:rPr>
      <w:rFonts w:ascii="TIMES" w:hAnsi="TIMES" w:cs="TIMES"/>
      <w:sz w:val="72"/>
    </w:rPr>
  </w:style>
  <w:style w:type="paragraph" w:styleId="Footer">
    <w:name w:val="footer"/>
    <w:basedOn w:val="Normal"/>
    <w:pPr>
      <w:tabs>
        <w:tab w:val="clear" w:pos="720"/>
        <w:tab w:val="right" w:pos="9504" w:leader="none"/>
      </w:tabs>
    </w:pPr>
    <w:rPr>
      <w:sz w:val="20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2001-02-12T18:28:00Z</dcterms:created>
  <dc:creator>Greg Geisbrecht</dc:creator>
  <dc:description/>
  <dc:language>en-CA</dc:language>
  <cp:lastModifiedBy>Jim_Bartlett</cp:lastModifiedBy>
  <cp:lastPrinted>2001-02-12T14:14:00Z</cp:lastPrinted>
  <dcterms:modified xsi:type="dcterms:W3CDTF">2001-02-12T19:47:00Z</dcterms:modified>
  <cp:revision>9</cp:revision>
  <dc:subject/>
  <dc:title>NGTL 2001-2002 TOLLS</dc:title>
</cp:coreProperties>
</file>