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eader"/>
        <w:rPr/>
      </w:pPr>
      <w:r>
        <w:rPr/>
        <w:t>BEFORE THE PUBLIC UTILITIES COMMISSION OF THE</w:t>
        <w:br/>
        <w:t>STATE OF CALIFORNIA</w:t>
      </w:r>
    </w:p>
    <w:tbl>
      <w:tblPr>
        <w:tblW w:w="9738" w:type="dxa"/>
        <w:jc w:val="start"/>
        <w:tblInd w:w="0" w:type="dxa"/>
        <w:tblLayout w:type="fixed"/>
        <w:tblCellMar>
          <w:top w:w="0" w:type="dxa"/>
          <w:start w:w="108" w:type="dxa"/>
          <w:bottom w:w="0" w:type="dxa"/>
          <w:end w:w="108" w:type="dxa"/>
        </w:tblCellMar>
      </w:tblPr>
      <w:tblGrid>
        <w:gridCol w:w="5040"/>
        <w:gridCol w:w="378"/>
        <w:gridCol w:w="4320"/>
      </w:tblGrid>
      <w:tr>
        <w:trPr/>
        <w:tc>
          <w:tcPr>
            <w:tcW w:w="5040" w:type="dxa"/>
            <w:tcBorders/>
          </w:tcPr>
          <w:p>
            <w:pPr>
              <w:pStyle w:val="zCaption"/>
              <w:rPr/>
            </w:pPr>
            <w:r>
              <w:rPr/>
              <w:t>Application of Pacific Gas and Electric Company for verification, consolidation, and approval of costs and revenues in the transition revenue account.</w:t>
            </w:r>
          </w:p>
        </w:tc>
        <w:tc>
          <w:tcPr>
            <w:tcW w:w="378" w:type="dxa"/>
            <w:tcBorders/>
          </w:tcPr>
          <w:p>
            <w:pPr>
              <w:pStyle w:val="Normal"/>
              <w:spacing w:lineRule="atLeast" w:line="240"/>
              <w:ind w:end="72"/>
              <w:rPr/>
            </w:pPr>
            <w:r>
              <w:rPr/>
              <w:t>))))</w:t>
            </w:r>
          </w:p>
        </w:tc>
        <w:tc>
          <w:tcPr>
            <w:tcW w:w="4320" w:type="dxa"/>
            <w:tcBorders/>
          </w:tcPr>
          <w:p>
            <w:pPr>
              <w:pStyle w:val="zAppNo"/>
              <w:spacing w:lineRule="atLeast" w:line="240" w:before="240" w:after="0"/>
              <w:jc w:val="center"/>
              <w:rPr/>
            </w:pPr>
            <w:r>
              <w:rPr/>
              <w:t>Application No. 98-07-003</w:t>
              <w:br/>
              <w:t>(Filed July 1, 1998)</w:t>
            </w:r>
          </w:p>
        </w:tc>
      </w:tr>
      <w:tr>
        <w:trPr/>
        <w:tc>
          <w:tcPr>
            <w:tcW w:w="5040" w:type="dxa"/>
            <w:tcBorders>
              <w:top w:val="single" w:sz="4" w:space="0" w:color="000000"/>
            </w:tcBorders>
          </w:tcPr>
          <w:p>
            <w:pPr>
              <w:pStyle w:val="zCaption"/>
              <w:snapToGrid w:val="false"/>
              <w:rPr/>
            </w:pPr>
            <w:r>
              <w:rPr/>
            </w:r>
          </w:p>
          <w:p>
            <w:pPr>
              <w:pStyle w:val="zCaption"/>
              <w:rPr/>
            </w:pPr>
            <w:r>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tc>
        <w:tc>
          <w:tcPr>
            <w:tcW w:w="378" w:type="dxa"/>
            <w:tcBorders/>
          </w:tcPr>
          <w:p>
            <w:pPr>
              <w:pStyle w:val="Normal"/>
              <w:spacing w:lineRule="atLeast" w:line="240"/>
              <w:ind w:end="72"/>
              <w:rPr/>
            </w:pPr>
            <w:r>
              <w:rPr/>
              <w:t>)))))))))))))</w:t>
            </w:r>
          </w:p>
        </w:tc>
        <w:tc>
          <w:tcPr>
            <w:tcW w:w="4320" w:type="dxa"/>
            <w:tcBorders/>
          </w:tcPr>
          <w:p>
            <w:pPr>
              <w:pStyle w:val="zAppNo"/>
              <w:snapToGrid w:val="false"/>
              <w:spacing w:before="240" w:after="0"/>
              <w:rPr/>
            </w:pPr>
            <w:r>
              <w:rPr/>
            </w:r>
          </w:p>
          <w:p>
            <w:pPr>
              <w:pStyle w:val="zAppNo"/>
              <w:rPr/>
            </w:pPr>
            <w:r>
              <w:rPr/>
              <w:t>Application No. 98-07-006</w:t>
              <w:br/>
              <w:t>(Filed July 1, 1998)</w:t>
            </w:r>
          </w:p>
        </w:tc>
      </w:tr>
      <w:tr>
        <w:trPr/>
        <w:tc>
          <w:tcPr>
            <w:tcW w:w="5040" w:type="dxa"/>
            <w:tcBorders>
              <w:top w:val="single" w:sz="4" w:space="0" w:color="000000"/>
              <w:bottom w:val="single" w:sz="4" w:space="0" w:color="000000"/>
            </w:tcBorders>
          </w:tcPr>
          <w:p>
            <w:pPr>
              <w:pStyle w:val="zCaption"/>
              <w:snapToGrid w:val="false"/>
              <w:rPr/>
            </w:pPr>
            <w:r>
              <w:rPr/>
            </w:r>
          </w:p>
          <w:p>
            <w:pPr>
              <w:pStyle w:val="zCaption"/>
              <w:rPr/>
            </w:pPr>
            <w:r>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proposed rate recovery for Santa Catalina Island diesel fuel costs.</w:t>
            </w:r>
          </w:p>
        </w:tc>
        <w:tc>
          <w:tcPr>
            <w:tcW w:w="378" w:type="dxa"/>
            <w:tcBorders/>
          </w:tcPr>
          <w:p>
            <w:pPr>
              <w:pStyle w:val="Normal"/>
              <w:spacing w:lineRule="atLeast" w:line="240"/>
              <w:ind w:end="72"/>
              <w:rPr/>
            </w:pPr>
            <w:r>
              <w:rPr/>
              <w:t>)))))))))))))</w:t>
            </w:r>
          </w:p>
        </w:tc>
        <w:tc>
          <w:tcPr>
            <w:tcW w:w="4320" w:type="dxa"/>
            <w:tcBorders/>
          </w:tcPr>
          <w:p>
            <w:pPr>
              <w:pStyle w:val="zAppNo"/>
              <w:snapToGrid w:val="false"/>
              <w:spacing w:before="240" w:after="0"/>
              <w:rPr/>
            </w:pPr>
            <w:r>
              <w:rPr/>
            </w:r>
          </w:p>
          <w:p>
            <w:pPr>
              <w:pStyle w:val="zAppNo"/>
              <w:rPr/>
            </w:pPr>
            <w:r>
              <w:rPr/>
              <w:t>Application No. 98-07-026</w:t>
              <w:br/>
              <w:t>(Filed July 1, 1998)</w:t>
            </w:r>
          </w:p>
        </w:tc>
      </w:tr>
    </w:tbl>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zTitle"/>
        <w:spacing w:before="720" w:after="480"/>
        <w:rPr/>
      </w:pPr>
      <w:bookmarkStart w:id="0" w:name="zBriefTitle"/>
      <w:bookmarkEnd w:id="0"/>
      <w:r>
        <w:rPr/>
        <w:t>SUPPLEMENTAL PREHEARING CONFERENCE STATEMENT OF NEW WEST ENERGY</w:t>
      </w:r>
    </w:p>
    <w:p>
      <w:pPr>
        <w:pStyle w:val="Normal"/>
        <w:jc w:val="center"/>
        <w:rPr>
          <w:caps/>
        </w:rPr>
      </w:pPr>
      <w:r>
        <w:rPr>
          <w:caps/>
        </w:rPr>
        <w:t>Supplemental Prehearing Conference Statement of New West Energy</w:t>
      </w:r>
    </w:p>
    <w:p>
      <w:pPr>
        <w:pStyle w:val="Normal"/>
        <w:rPr>
          <w:caps/>
        </w:rPr>
      </w:pPr>
      <w:r>
        <w:rPr>
          <w:caps/>
        </w:rPr>
      </w:r>
    </w:p>
    <w:p>
      <w:pPr>
        <w:pStyle w:val="Normal"/>
        <w:rPr/>
      </w:pPr>
      <w:r>
        <w:rPr/>
      </w:r>
    </w:p>
    <w:p>
      <w:pPr>
        <w:pStyle w:val="Normal"/>
        <w:spacing w:lineRule="auto" w:line="480"/>
        <w:ind w:firstLine="720" w:end="0"/>
        <w:rPr/>
      </w:pPr>
      <w:r>
        <w:rPr/>
        <w:t>Pursuant to the order of Administrative Law Judge Robert Barnett dated October 11, 2001, and pursuant to the “Assigned Commissioner’s Ruling Regarding Comments on Certain Direct Access Issues” (ACR) issued October 23, 2001, New West Energy Corporation (“New West Energy”) submits these supplemental comments relating to the issue of recovery of net undercollections from bundled service and direct access customers.</w:t>
      </w:r>
    </w:p>
    <w:p>
      <w:pPr>
        <w:pStyle w:val="Normal"/>
        <w:spacing w:lineRule="auto" w:line="480"/>
        <w:rPr/>
      </w:pPr>
      <w:r>
        <w:rPr/>
      </w:r>
    </w:p>
    <w:p>
      <w:pPr>
        <w:pStyle w:val="Normal"/>
        <w:spacing w:lineRule="auto" w:line="480"/>
        <w:ind w:firstLine="720" w:end="0"/>
        <w:rPr/>
      </w:pPr>
      <w:r>
        <w:rPr/>
        <w:t>New West Energy has been an active electric service provider since the introduction of direct access in 1998.  New West Energy has provided direct access service to numerous customers throughout the state.  New West Energy is currently active in the direct access markets.</w:t>
      </w:r>
    </w:p>
    <w:p>
      <w:pPr>
        <w:pStyle w:val="Normal"/>
        <w:spacing w:lineRule="auto" w:line="480"/>
        <w:rPr/>
      </w:pPr>
      <w:r>
        <w:rPr/>
      </w:r>
    </w:p>
    <w:p>
      <w:pPr>
        <w:pStyle w:val="Normal"/>
        <w:spacing w:lineRule="auto" w:line="480"/>
        <w:ind w:firstLine="720" w:end="0"/>
        <w:rPr/>
      </w:pPr>
      <w:r>
        <w:rPr/>
        <w:t>New West Energy has carefully followed and considered the issues relative to the net undercollections, and the recovery of the net undercollections.  It is the position of New West Energy that all customers, both bundled service customers and direct access customers, are equally responsible for payment of the net undercollections.  Fairness dictates that bundled customers and direct access customers are both assessed their fair share of the responsibility for repaying the amount of the net undercollections as may be determined by the Commission.</w:t>
      </w:r>
    </w:p>
    <w:p>
      <w:pPr>
        <w:pStyle w:val="Normal"/>
        <w:spacing w:lineRule="auto" w:line="480"/>
        <w:rPr/>
      </w:pPr>
      <w:r>
        <w:rPr/>
      </w:r>
    </w:p>
    <w:p>
      <w:pPr>
        <w:pStyle w:val="Normal"/>
        <w:spacing w:lineRule="auto" w:line="480"/>
        <w:rPr/>
      </w:pPr>
      <w:r>
        <w:rPr/>
        <w:t xml:space="preserve">New West Energy bases this position on the fact that both groups of customers equally contributed to the net undercollections.  Prior to June 1999 when the Commission issued its decision in SCE’s 1998 RAP, direct access customers were subject to a zero minimum bill.  In other words, if the amount of the PX credit provided to a direct access customer exceeded its total UDC bill at the frozen rate levels, that customer’s PX credit was limited to its total UDC bill.  In D.99-06-058, the Commission approved a stipulation between SCE, Enron and the Western Power Trading Forum that eliminated this zero minimum bill provision.  </w:t>
      </w:r>
    </w:p>
    <w:p>
      <w:pPr>
        <w:pStyle w:val="Normal"/>
        <w:spacing w:lineRule="auto" w:line="480"/>
        <w:rPr/>
      </w:pPr>
      <w:r>
        <w:rPr/>
      </w:r>
    </w:p>
    <w:p>
      <w:pPr>
        <w:pStyle w:val="Normal"/>
        <w:spacing w:lineRule="auto" w:line="480"/>
        <w:ind w:firstLine="720" w:end="0"/>
        <w:rPr/>
      </w:pPr>
      <w:r>
        <w:rPr/>
        <w:t>Therefore, as currently structured, a kWh that a direct access customers buys from another provider results in the same amount of reduction in the UDC’s revenues as does a sale of a kWh to a bundled service customer.  Because of this, the direct access customers imposed the same proportionate financial burden on the UDCs as did the bundled customer.</w:t>
      </w:r>
      <w:r>
        <w:br w:type="page"/>
      </w:r>
    </w:p>
    <w:p>
      <w:pPr>
        <w:pStyle w:val="Normal"/>
        <w:rPr/>
      </w:pPr>
      <w:r>
        <w:rPr/>
      </w:r>
    </w:p>
    <w:p>
      <w:pPr>
        <w:pStyle w:val="Normal"/>
        <w:spacing w:lineRule="auto" w:line="480"/>
        <w:rPr/>
      </w:pPr>
      <w:r>
        <w:rPr/>
      </w:r>
    </w:p>
    <w:p>
      <w:pPr>
        <w:pStyle w:val="Normal"/>
        <w:spacing w:lineRule="auto" w:line="480"/>
        <w:ind w:firstLine="720" w:end="0"/>
        <w:rPr/>
      </w:pPr>
      <w:r>
        <w:rPr/>
        <w:t>For these reasons New West Energy generally supports the proposition that the Commission should not discriminate between bundled service and direct access customers when imposing obligations for recovery of net undercollections.</w:t>
      </w:r>
    </w:p>
    <w:p>
      <w:pPr>
        <w:pStyle w:val="Normal"/>
        <w:rPr/>
      </w:pPr>
      <w:r>
        <w:rPr/>
      </w:r>
    </w:p>
    <w:p>
      <w:pPr>
        <w:pStyle w:val="Normal"/>
        <w:rPr/>
      </w:pPr>
      <w:r>
        <w:rPr/>
        <w:tab/>
        <w:t>DATED this 6</w:t>
      </w:r>
      <w:r>
        <w:rPr>
          <w:vertAlign w:val="superscript"/>
        </w:rPr>
        <w:t>th</w:t>
      </w:r>
      <w:r>
        <w:rPr/>
        <w:t xml:space="preserve"> day of November, 2001.</w:t>
      </w:r>
    </w:p>
    <w:p>
      <w:pPr>
        <w:pStyle w:val="Normal"/>
        <w:rPr/>
      </w:pPr>
      <w:r>
        <w:rPr/>
      </w:r>
    </w:p>
    <w:p>
      <w:pPr>
        <w:pStyle w:val="Normal"/>
        <w:rPr/>
      </w:pPr>
      <w:r>
        <w:rPr/>
        <w:tab/>
        <w:tab/>
        <w:tab/>
        <w:tab/>
        <w:tab/>
        <w:tab/>
        <w:t>NEW WEST ENERGY</w:t>
      </w:r>
    </w:p>
    <w:p>
      <w:pPr>
        <w:pStyle w:val="Normal"/>
        <w:rPr/>
      </w:pPr>
      <w:r>
        <w:rPr/>
      </w:r>
    </w:p>
    <w:p>
      <w:pPr>
        <w:pStyle w:val="Normal"/>
        <w:rPr/>
      </w:pPr>
      <w:r>
        <w:rPr/>
      </w:r>
    </w:p>
    <w:p>
      <w:pPr>
        <w:pStyle w:val="Normal"/>
        <w:rPr/>
      </w:pPr>
      <w:r>
        <w:rPr/>
        <w:tab/>
        <w:tab/>
        <w:tab/>
        <w:tab/>
        <w:tab/>
        <w:tab/>
        <w:t>By:  _____________________________________</w:t>
      </w:r>
    </w:p>
    <w:p>
      <w:pPr>
        <w:pStyle w:val="Normal"/>
        <w:rPr/>
      </w:pPr>
      <w:r>
        <w:rPr/>
        <w:tab/>
        <w:tab/>
        <w:tab/>
        <w:tab/>
        <w:tab/>
        <w:tab/>
        <w:tab/>
        <w:t>Robert S. Nichols</w:t>
      </w:r>
      <w:r>
        <w:br w:type="page"/>
      </w:r>
    </w:p>
    <w:p>
      <w:pPr>
        <w:pStyle w:val="Normal"/>
        <w:rPr>
          <w:sz w:val="20"/>
        </w:rPr>
      </w:pPr>
      <w:r>
        <w:rPr>
          <w:sz w:val="20"/>
        </w:rPr>
        <w:fldChar w:fldCharType="begin"/>
      </w:r>
      <w:r>
        <w:rPr>
          <w:sz w:val="20"/>
        </w:rPr>
        <w:instrText xml:space="preserve"> FILENAME </w:instrText>
      </w:r>
      <w:r>
        <w:rPr>
          <w:sz w:val="20"/>
        </w:rPr>
        <w:fldChar w:fldCharType="separate"/>
      </w:r>
      <w:r>
        <w:rPr>
          <w:sz w:val="20"/>
        </w:rPr>
        <w:t>Document1.doc</w:t>
      </w:r>
      <w:r>
        <w:rPr>
          <w:sz w:val="20"/>
        </w:rPr>
        <w:fldChar w:fldCharType="end"/>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2"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CenturySchlbk">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 w:name="Helvetica-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0" w:end="0"/>
      <w:rPr>
        <w:sz w:val="16"/>
      </w:rPr>
    </w:pPr>
    <w:r>
      <w:rPr>
        <w:sz w:val="16"/>
      </w:rPr>
      <w:fldChar w:fldCharType="begin"/>
    </w:r>
    <w:r>
      <w:rPr>
        <w:sz w:val="16"/>
      </w:rPr>
      <w:instrText xml:space="preserve"> IF  "" ""</w:instrText>
    </w:r>
    <w:r>
      <w:rPr>
        <w:sz w:val="16"/>
      </w:rPr>
      <w:fldChar w:fldCharType="separate"/>
    </w:r>
    <w:r>
      <w:rPr>
        <w:sz w:val="16"/>
      </w:rPr>
    </w:r>
    <w:r>
      <w:rPr>
        <w:sz w:val="16"/>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6985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6985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0" w:end="0"/>
      <w:rPr>
        <w:sz w:val="16"/>
      </w:rPr>
    </w:pPr>
    <w:r>
      <w:rPr>
        <w:sz w:val="16"/>
      </w:rPr>
      <w:fldChar w:fldCharType="begin"/>
    </w:r>
    <w:r>
      <w:rPr>
        <w:sz w:val="16"/>
      </w:rPr>
      <w:instrText xml:space="preserve"> IF  "" ""</w:instrText>
    </w:r>
    <w:r>
      <w:rPr>
        <w:sz w:val="16"/>
      </w:rPr>
      <w:fldChar w:fldCharType="separate"/>
    </w:r>
    <w:r>
      <w:rPr>
        <w:sz w:val="16"/>
      </w:rPr>
    </w:r>
    <w:r>
      <w:rPr>
        <w:sz w:val="16"/>
      </w:rPr>
      <w:fldChar w:fldCharType="end"/>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241300" cy="131445"/>
              <wp:effectExtent l="0" t="0" r="0" b="0"/>
              <wp:wrapSquare wrapText="bothSides"/>
              <wp:docPr id="2" name="Frame2"/>
              <a:graphic xmlns:a="http://schemas.openxmlformats.org/drawingml/2006/main">
                <a:graphicData uri="http://schemas.microsoft.com/office/word/2010/wordprocessingShape">
                  <wps:wsp>
                    <wps:cNvSpPr txBox="1"/>
                    <wps:spPr>
                      <a:xfrm>
                        <a:off x="0" y="0"/>
                        <a:ext cx="241300" cy="13144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9pt;height:10.35pt;mso-wrap-distance-left:0pt;mso-wrap-distance-right:0pt;mso-wrap-distance-top:0pt;mso-wrap-distance-bottom:0pt;margin-top:0.05pt;mso-position-vertical-relative:text;margin-left:224.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center" w:pos="8640" w:leader="none"/>
      </w:tabs>
      <w:rPr>
        <w:u w:val="single"/>
      </w:rPr>
    </w:pPr>
    <w:r>
      <w:rPr>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eastAsia="NewCenturySchlbk"/>
      </w:rPr>
    </w:pPr>
    <w:r>
      <w:rPr>
        <w:rFonts w:eastAsia="NewCenturySchlbk"/>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center" w:pos="8640" w:leader="none"/>
      </w:tabs>
      <w:rPr>
        <w:u w:val="single"/>
      </w:rPr>
    </w:pPr>
    <w:r>
      <w:rPr>
        <w:u w:val="single"/>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0"/>
        </w:tabs>
        <w:ind w:start="0" w:hanging="0"/>
      </w:pPr>
      <w:rPr>
        <w:u w:val="none"/>
        <w:color w:val="0000FF"/>
      </w:rPr>
    </w:lvl>
    <w:lvl w:ilvl="1">
      <w:start w:val="1"/>
      <w:pStyle w:val="Heading2"/>
      <w:numFmt w:val="upperLetter"/>
      <w:lvlText w:val="%2."/>
      <w:lvlJc w:val="start"/>
      <w:pPr>
        <w:tabs>
          <w:tab w:val="num" w:pos="720"/>
        </w:tabs>
        <w:ind w:start="720" w:hanging="720"/>
      </w:pPr>
      <w:rPr>
        <w:u w:val="none"/>
        <w:color w:val="0000FF"/>
      </w:rPr>
    </w:lvl>
    <w:lvl w:ilvl="2">
      <w:start w:val="1"/>
      <w:pStyle w:val="Heading3"/>
      <w:numFmt w:val="decimal"/>
      <w:lvlText w:val="%3."/>
      <w:lvlJc w:val="start"/>
      <w:pPr>
        <w:tabs>
          <w:tab w:val="num" w:pos="720"/>
        </w:tabs>
        <w:ind w:start="1440" w:hanging="720"/>
      </w:pPr>
      <w:rPr>
        <w:u w:val="none"/>
        <w:color w:val="0000FF"/>
      </w:rPr>
    </w:lvl>
    <w:lvl w:ilvl="3">
      <w:start w:val="1"/>
      <w:pStyle w:val="Heading4"/>
      <w:numFmt w:val="lowerLetter"/>
      <w:lvlText w:val="%4)"/>
      <w:lvlJc w:val="start"/>
      <w:pPr>
        <w:tabs>
          <w:tab w:val="num" w:pos="720"/>
        </w:tabs>
        <w:ind w:start="2160" w:hanging="720"/>
      </w:pPr>
      <w:rPr>
        <w:u w:val="none"/>
        <w:color w:val="0000FF"/>
      </w:rPr>
    </w:lvl>
    <w:lvl w:ilvl="4">
      <w:start w:val="1"/>
      <w:pStyle w:val="Heading5"/>
      <w:numFmt w:val="decimal"/>
      <w:lvlText w:val="(%5)"/>
      <w:lvlJc w:val="start"/>
      <w:pPr>
        <w:tabs>
          <w:tab w:val="num" w:pos="720"/>
        </w:tabs>
        <w:ind w:start="2880" w:hanging="720"/>
      </w:pPr>
      <w:rPr>
        <w:u w:val="none"/>
        <w:color w:val="0000FF"/>
      </w:rPr>
    </w:lvl>
    <w:lvl w:ilvl="5">
      <w:start w:val="1"/>
      <w:pStyle w:val="Heading6"/>
      <w:numFmt w:val="lowerLetter"/>
      <w:lvlText w:val="(%6)"/>
      <w:lvlJc w:val="start"/>
      <w:pPr>
        <w:tabs>
          <w:tab w:val="num" w:pos="720"/>
        </w:tabs>
        <w:ind w:start="3600" w:hanging="720"/>
      </w:pPr>
      <w:rPr>
        <w:u w:val="none"/>
        <w:color w:val="0000FF"/>
      </w:rPr>
    </w:lvl>
    <w:lvl w:ilvl="6">
      <w:start w:val="1"/>
      <w:pStyle w:val="Heading7"/>
      <w:numFmt w:val="lowerRoman"/>
      <w:lvlText w:val="(%7)"/>
      <w:lvlJc w:val="start"/>
      <w:pPr>
        <w:tabs>
          <w:tab w:val="num" w:pos="720"/>
        </w:tabs>
        <w:ind w:start="4320" w:hanging="720"/>
      </w:pPr>
      <w:rPr>
        <w:u w:val="none"/>
        <w:color w:val="0000FF"/>
      </w:rPr>
    </w:lvl>
    <w:lvl w:ilvl="7">
      <w:start w:val="1"/>
      <w:pStyle w:val="Heading8"/>
      <w:numFmt w:val="lowerLetter"/>
      <w:lvlText w:val="(%8)"/>
      <w:lvlJc w:val="start"/>
      <w:pPr>
        <w:tabs>
          <w:tab w:val="num" w:pos="720"/>
        </w:tabs>
        <w:ind w:start="5040" w:hanging="720"/>
      </w:pPr>
      <w:rPr>
        <w:u w:val="none"/>
        <w:color w:val="0000FF"/>
      </w:rPr>
    </w:lvl>
    <w:lvl w:ilvl="8">
      <w:start w:val="1"/>
      <w:pStyle w:val="Heading9"/>
      <w:numFmt w:val="lowerRoman"/>
      <w:lvlText w:val="(%9)"/>
      <w:lvlJc w:val="start"/>
      <w:pPr>
        <w:tabs>
          <w:tab w:val="num" w:pos="720"/>
        </w:tabs>
        <w:ind w:start="5760" w:hanging="720"/>
      </w:pPr>
      <w:rPr>
        <w:u w:val="none"/>
        <w:color w:val="0000FF"/>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NewCenturySchlbk" w:hAnsi="NewCenturySchlbk" w:eastAsia="Times New Roman" w:cs="NewCenturySchlbk"/>
      <w:color w:val="auto"/>
      <w:sz w:val="24"/>
      <w:szCs w:val="20"/>
      <w:lang w:val="en-US" w:eastAsia="zh-CN" w:bidi="hi-IN"/>
    </w:rPr>
  </w:style>
  <w:style w:type="paragraph" w:styleId="Heading1">
    <w:name w:val="heading 1"/>
    <w:basedOn w:val="Normal"/>
    <w:next w:val="Heading1Text"/>
    <w:qFormat/>
    <w:pPr>
      <w:keepNext w:val="true"/>
      <w:keepLines/>
      <w:numPr>
        <w:ilvl w:val="0"/>
        <w:numId w:val="1"/>
      </w:numPr>
      <w:spacing w:lineRule="exact" w:line="480" w:before="240" w:after="120"/>
      <w:jc w:val="center"/>
      <w:outlineLvl w:val="0"/>
    </w:pPr>
    <w:rPr>
      <w:b/>
      <w:caps/>
      <w:u w:val="single"/>
    </w:rPr>
  </w:style>
  <w:style w:type="paragraph" w:styleId="Heading2">
    <w:name w:val="heading 2"/>
    <w:basedOn w:val="Heading1"/>
    <w:next w:val="Heading2Text"/>
    <w:qFormat/>
    <w:pPr>
      <w:numPr>
        <w:ilvl w:val="1"/>
        <w:numId w:val="1"/>
      </w:numPr>
      <w:jc w:val="start"/>
      <w:outlineLvl w:val="1"/>
    </w:pPr>
    <w:rPr>
      <w:caps w:val="false"/>
      <w:smallCaps w:val="false"/>
    </w:rPr>
  </w:style>
  <w:style w:type="paragraph" w:styleId="Heading3">
    <w:name w:val="heading 3"/>
    <w:basedOn w:val="Heading2"/>
    <w:next w:val="Heading3Text"/>
    <w:qFormat/>
    <w:pPr>
      <w:numPr>
        <w:ilvl w:val="2"/>
        <w:numId w:val="1"/>
      </w:numPr>
      <w:outlineLvl w:val="2"/>
    </w:pPr>
    <w:rPr/>
  </w:style>
  <w:style w:type="paragraph" w:styleId="Heading4">
    <w:name w:val="heading 4"/>
    <w:basedOn w:val="Heading2"/>
    <w:next w:val="Heading4Text"/>
    <w:qFormat/>
    <w:pPr>
      <w:numPr>
        <w:ilvl w:val="3"/>
        <w:numId w:val="1"/>
      </w:numPr>
      <w:outlineLvl w:val="3"/>
    </w:pPr>
    <w:rPr/>
  </w:style>
  <w:style w:type="paragraph" w:styleId="Heading5">
    <w:name w:val="heading 5"/>
    <w:basedOn w:val="Heading2"/>
    <w:next w:val="Heading5Text"/>
    <w:qFormat/>
    <w:pPr>
      <w:numPr>
        <w:ilvl w:val="4"/>
        <w:numId w:val="1"/>
      </w:numPr>
      <w:outlineLvl w:val="4"/>
    </w:pPr>
    <w:rPr/>
  </w:style>
  <w:style w:type="paragraph" w:styleId="Heading6">
    <w:name w:val="heading 6"/>
    <w:basedOn w:val="Heading2"/>
    <w:next w:val="Heading6Text"/>
    <w:qFormat/>
    <w:pPr>
      <w:numPr>
        <w:ilvl w:val="5"/>
        <w:numId w:val="1"/>
      </w:numPr>
      <w:outlineLvl w:val="5"/>
    </w:pPr>
    <w:rPr/>
  </w:style>
  <w:style w:type="paragraph" w:styleId="Heading7">
    <w:name w:val="heading 7"/>
    <w:basedOn w:val="Heading2"/>
    <w:next w:val="Heading7Text"/>
    <w:qFormat/>
    <w:pPr>
      <w:numPr>
        <w:ilvl w:val="6"/>
        <w:numId w:val="1"/>
      </w:numPr>
      <w:outlineLvl w:val="6"/>
    </w:pPr>
    <w:rPr/>
  </w:style>
  <w:style w:type="paragraph" w:styleId="Heading8">
    <w:name w:val="heading 8"/>
    <w:basedOn w:val="Heading2"/>
    <w:next w:val="Heading8Text"/>
    <w:qFormat/>
    <w:pPr>
      <w:numPr>
        <w:ilvl w:val="7"/>
        <w:numId w:val="1"/>
      </w:numPr>
      <w:outlineLvl w:val="7"/>
    </w:pPr>
    <w:rPr/>
  </w:style>
  <w:style w:type="paragraph" w:styleId="Heading9">
    <w:name w:val="heading 9"/>
    <w:basedOn w:val="Heading2"/>
    <w:next w:val="Heading9Text"/>
    <w:qFormat/>
    <w:pPr>
      <w:numPr>
        <w:ilvl w:val="8"/>
        <w:numId w:val="1"/>
      </w:numPr>
      <w:tabs>
        <w:tab w:val="clear" w:pos="720"/>
        <w:tab w:val="left" w:pos="360" w:leader="none"/>
      </w:tabs>
      <w:outlineLvl w:val="8"/>
    </w:pPr>
    <w:rPr/>
  </w:style>
  <w:style w:type="character" w:styleId="WW8Num1z0">
    <w:name w:val="WW8Num1z0"/>
    <w:qFormat/>
    <w:rPr>
      <w:color w:val="0000FF"/>
      <w:u w:val="none"/>
    </w:rPr>
  </w:style>
  <w:style w:type="character" w:styleId="DefaultParagraphFont">
    <w:name w:val="Default Paragraph Font"/>
    <w:qFormat/>
    <w:rPr/>
  </w:style>
  <w:style w:type="character" w:styleId="CommentReference">
    <w:name w:val="Comment Reference"/>
    <w:basedOn w:val="DefaultParagraphFont"/>
    <w:qFormat/>
    <w:rPr>
      <w:color w:val="0000FF"/>
      <w:u w:val="double"/>
    </w:rPr>
  </w:style>
  <w:style w:type="character" w:styleId="LineNumber">
    <w:name w:val="line number"/>
    <w:basedOn w:val="DefaultParagraphFont"/>
    <w:rPr/>
  </w:style>
  <w:style w:type="character" w:styleId="FootnoteCharacters">
    <w:name w:val="Footnote Characters"/>
    <w:basedOn w:val="DefaultParagraphFont"/>
    <w:qFormat/>
    <w:rPr>
      <w:color w:val="FF0000"/>
      <w:sz w:val="16"/>
      <w:u w:val="single"/>
      <w:vertAlign w:val="superscript"/>
    </w:rPr>
  </w:style>
  <w:style w:type="character" w:styleId="zDocDate">
    <w:name w:val="zDocDate"/>
    <w:basedOn w:val="DefaultParagraphFont"/>
    <w:qFormat/>
    <w:rPr>
      <w:rFonts w:ascii="NewCenturySchlbk" w:hAnsi="NewCenturySchlbk" w:cs="NewCenturySchlbk"/>
      <w:color w:val="0000FF"/>
      <w:sz w:val="24"/>
      <w:u w:val="non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1Text">
    <w:name w:val="Heading 1 Text"/>
    <w:basedOn w:val="Normal"/>
    <w:qFormat/>
    <w:pPr>
      <w:spacing w:lineRule="atLeast" w:line="480"/>
      <w:ind w:firstLine="720" w:start="0" w:end="0"/>
    </w:pPr>
    <w:rPr/>
  </w:style>
  <w:style w:type="paragraph" w:styleId="Heading2Text">
    <w:name w:val="Heading 2 Text"/>
    <w:basedOn w:val="Heading1Text"/>
    <w:qFormat/>
    <w:pPr/>
    <w:rPr/>
  </w:style>
  <w:style w:type="paragraph" w:styleId="Heading3Text">
    <w:name w:val="Heading 3 Text"/>
    <w:basedOn w:val="Heading2Text"/>
    <w:qFormat/>
    <w:pPr>
      <w:ind w:firstLine="720" w:start="720" w:end="0"/>
    </w:pPr>
    <w:rPr/>
  </w:style>
  <w:style w:type="paragraph" w:styleId="Heading4Text">
    <w:name w:val="Heading 4 Text"/>
    <w:basedOn w:val="Heading2Text"/>
    <w:qFormat/>
    <w:pPr>
      <w:ind w:firstLine="720" w:start="1440" w:end="0"/>
    </w:pPr>
    <w:rPr/>
  </w:style>
  <w:style w:type="paragraph" w:styleId="Heading5Text">
    <w:name w:val="Heading 5 Text"/>
    <w:basedOn w:val="Heading2Text"/>
    <w:qFormat/>
    <w:pPr>
      <w:ind w:firstLine="720" w:start="2160" w:end="0"/>
    </w:pPr>
    <w:rPr/>
  </w:style>
  <w:style w:type="paragraph" w:styleId="Heading6Text">
    <w:name w:val="Heading 6 Text"/>
    <w:basedOn w:val="Heading2Text"/>
    <w:qFormat/>
    <w:pPr>
      <w:ind w:firstLine="720" w:start="2880" w:end="0"/>
    </w:pPr>
    <w:rPr/>
  </w:style>
  <w:style w:type="paragraph" w:styleId="Heading7Text">
    <w:name w:val="Heading 7 Text"/>
    <w:basedOn w:val="Heading2Text"/>
    <w:qFormat/>
    <w:pPr>
      <w:ind w:firstLine="720" w:start="3600" w:end="0"/>
    </w:pPr>
    <w:rPr/>
  </w:style>
  <w:style w:type="paragraph" w:styleId="Heading8Text">
    <w:name w:val="Heading 8 Text"/>
    <w:basedOn w:val="Heading2Text"/>
    <w:qFormat/>
    <w:pPr>
      <w:ind w:firstLine="720" w:start="4320" w:end="0"/>
    </w:pPr>
    <w:rPr/>
  </w:style>
  <w:style w:type="paragraph" w:styleId="Heading9Text">
    <w:name w:val="Heading 9 Text"/>
    <w:basedOn w:val="Heading2Text"/>
    <w:qFormat/>
    <w:pPr>
      <w:ind w:firstLine="720" w:start="5040" w:end="0"/>
    </w:pPr>
    <w:rPr/>
  </w:style>
  <w:style w:type="paragraph" w:styleId="FootnoteText">
    <w:name w:val="footnote text"/>
    <w:basedOn w:val="Normal"/>
    <w:pPr>
      <w:tabs>
        <w:tab w:val="clear" w:pos="720"/>
        <w:tab w:val="left" w:pos="360" w:leader="none"/>
      </w:tabs>
      <w:ind w:hanging="360" w:start="360" w:end="0"/>
    </w:pPr>
    <w:rPr>
      <w:sz w:val="20"/>
    </w:rPr>
  </w:style>
  <w:style w:type="paragraph" w:styleId="CommentText">
    <w:name w:val="Comment Text"/>
    <w:basedOn w:val="FootnoteText"/>
    <w:qFormat/>
    <w:pPr>
      <w:ind w:firstLine="720" w:start="360" w:end="0"/>
    </w:pPr>
    <w:rPr>
      <w:color w:val="0000FF"/>
    </w:rPr>
  </w:style>
  <w:style w:type="paragraph" w:styleId="TOC1">
    <w:name w:val="toc 1"/>
    <w:basedOn w:val="Normal"/>
    <w:pPr>
      <w:tabs>
        <w:tab w:val="left" w:pos="720" w:leader="none"/>
        <w:tab w:val="right" w:pos="8640" w:leader="dot"/>
      </w:tabs>
      <w:spacing w:lineRule="atLeast" w:line="240" w:before="240" w:after="0"/>
      <w:ind w:hanging="720" w:start="720" w:end="1440"/>
    </w:pPr>
    <w:rPr>
      <w:caps/>
    </w:rPr>
  </w:style>
  <w:style w:type="paragraph" w:styleId="TOC7">
    <w:name w:val="toc 7"/>
    <w:basedOn w:val="TOC1"/>
    <w:next w:val="Normal"/>
    <w:pPr>
      <w:tabs>
        <w:tab w:val="clear" w:pos="720"/>
        <w:tab w:val="left" w:pos="5040" w:leader="none"/>
        <w:tab w:val="right" w:pos="8640" w:leader="dot"/>
      </w:tabs>
      <w:ind w:hanging="720" w:start="5040" w:end="1440"/>
    </w:pPr>
    <w:rPr>
      <w:caps w:val="false"/>
      <w:smallCaps w:val="false"/>
    </w:rPr>
  </w:style>
  <w:style w:type="paragraph" w:styleId="TOC6">
    <w:name w:val="toc 6"/>
    <w:basedOn w:val="TOC1"/>
    <w:next w:val="Normal"/>
    <w:pPr>
      <w:tabs>
        <w:tab w:val="clear" w:pos="720"/>
        <w:tab w:val="left" w:pos="4320" w:leader="none"/>
        <w:tab w:val="right" w:pos="8640" w:leader="dot"/>
      </w:tabs>
      <w:ind w:hanging="720" w:start="4320" w:end="1440"/>
    </w:pPr>
    <w:rPr>
      <w:caps w:val="false"/>
      <w:smallCaps w:val="false"/>
    </w:rPr>
  </w:style>
  <w:style w:type="paragraph" w:styleId="TOC5">
    <w:name w:val="toc 5"/>
    <w:basedOn w:val="TOC1"/>
    <w:next w:val="Normal"/>
    <w:pPr>
      <w:tabs>
        <w:tab w:val="clear" w:pos="720"/>
        <w:tab w:val="left" w:pos="3600" w:leader="none"/>
        <w:tab w:val="right" w:pos="8640" w:leader="dot"/>
      </w:tabs>
      <w:ind w:hanging="720" w:start="3600" w:end="1440"/>
    </w:pPr>
    <w:rPr>
      <w:caps w:val="false"/>
      <w:smallCaps w:val="false"/>
    </w:rPr>
  </w:style>
  <w:style w:type="paragraph" w:styleId="TOC4">
    <w:name w:val="toc 4"/>
    <w:basedOn w:val="TOC1"/>
    <w:next w:val="Normal"/>
    <w:pPr>
      <w:tabs>
        <w:tab w:val="clear" w:pos="720"/>
        <w:tab w:val="left" w:pos="2880" w:leader="none"/>
        <w:tab w:val="right" w:pos="8640" w:leader="dot"/>
      </w:tabs>
      <w:ind w:hanging="720" w:start="2880" w:end="1440"/>
    </w:pPr>
    <w:rPr>
      <w:caps w:val="false"/>
      <w:smallCaps w:val="false"/>
    </w:rPr>
  </w:style>
  <w:style w:type="paragraph" w:styleId="TOC3">
    <w:name w:val="toc 3"/>
    <w:basedOn w:val="TOC1"/>
    <w:next w:val="Normal"/>
    <w:pPr>
      <w:tabs>
        <w:tab w:val="clear" w:pos="720"/>
        <w:tab w:val="left" w:pos="2160" w:leader="none"/>
        <w:tab w:val="right" w:pos="8640" w:leader="dot"/>
      </w:tabs>
      <w:ind w:hanging="720" w:start="2160" w:end="1440"/>
    </w:pPr>
    <w:rPr>
      <w:caps w:val="false"/>
      <w:smallCaps w:val="false"/>
    </w:rPr>
  </w:style>
  <w:style w:type="paragraph" w:styleId="TOC2">
    <w:name w:val="toc 2"/>
    <w:basedOn w:val="TOC1"/>
    <w:next w:val="Normal"/>
    <w:pPr>
      <w:tabs>
        <w:tab w:val="clear" w:pos="720"/>
        <w:tab w:val="left" w:pos="1440" w:leader="none"/>
        <w:tab w:val="right" w:pos="8640" w:leader="dot"/>
      </w:tabs>
      <w:ind w:hanging="720" w:start="1440" w:end="1440"/>
    </w:pPr>
    <w:rPr>
      <w:caps w:val="false"/>
      <w:smallCaps w:val="false"/>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pPr>
      <w:tabs>
        <w:tab w:val="left" w:pos="720" w:leader="none"/>
        <w:tab w:val="right" w:pos="8640" w:leader="dot"/>
      </w:tabs>
      <w:spacing w:lineRule="exact" w:line="240"/>
      <w:ind w:hanging="0" w:start="360" w:end="1440"/>
    </w:pPr>
    <w:rPr/>
  </w:style>
  <w:style w:type="paragraph" w:styleId="Index2">
    <w:name w:val="index 2"/>
    <w:basedOn w:val="Normal"/>
    <w:pPr>
      <w:keepNext w:val="true"/>
      <w:keepLines/>
      <w:tabs>
        <w:tab w:val="clear" w:pos="720"/>
        <w:tab w:val="right" w:pos="8640" w:leader="dot"/>
      </w:tabs>
      <w:spacing w:lineRule="atLeast" w:line="240" w:before="120" w:after="0"/>
      <w:ind w:hanging="360" w:start="360" w:end="1440"/>
    </w:pPr>
    <w:rPr/>
  </w:style>
  <w:style w:type="paragraph" w:styleId="Index1">
    <w:name w:val="index 1"/>
    <w:basedOn w:val="Normal"/>
    <w:next w:val="Index2"/>
    <w:pPr>
      <w:keepNext w:val="true"/>
      <w:keepLines/>
      <w:spacing w:lineRule="atLeast" w:line="240" w:before="240" w:after="0"/>
      <w:jc w:val="center"/>
    </w:pPr>
    <w:rPr>
      <w:b/>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ind w:hanging="0" w:start="-720" w:end="0"/>
    </w:pPr>
    <w:rPr>
      <w:rFonts w:ascii="Times New Roman" w:hAnsi="Times New Roman" w:cs="Times New Roman"/>
      <w:sz w:val="12"/>
    </w:rPr>
  </w:style>
  <w:style w:type="paragraph" w:styleId="Footer">
    <w:name w:val="footer"/>
    <w:basedOn w:val="Header"/>
    <w:pPr>
      <w:tabs>
        <w:tab w:val="clear" w:pos="720"/>
        <w:tab w:val="left" w:pos="1620" w:leader="none"/>
        <w:tab w:val="left" w:pos="3780" w:leader="none"/>
        <w:tab w:val="left" w:pos="6300" w:leader="none"/>
        <w:tab w:val="left" w:pos="7650" w:leader="none"/>
      </w:tabs>
      <w:ind w:hanging="0" w:start="288" w:end="0"/>
    </w:pPr>
    <w:rPr>
      <w:rFonts w:ascii="Times New Roman" w:hAnsi="Times New Roman" w:cs="Times New Roman"/>
      <w:color w:val="808080"/>
      <w:spacing w:val="-1"/>
      <w:sz w:val="18"/>
    </w:rPr>
  </w:style>
  <w:style w:type="paragraph" w:styleId="NormalIndent">
    <w:name w:val="Normal Indent"/>
    <w:basedOn w:val="Normal"/>
    <w:qFormat/>
    <w:pPr>
      <w:ind w:firstLine="1440" w:start="0" w:end="0"/>
    </w:pPr>
    <w:rPr/>
  </w:style>
  <w:style w:type="paragraph" w:styleId="ListBullet">
    <w:name w:val="List Bullet"/>
    <w:basedOn w:val="Normal"/>
    <w:pPr>
      <w:ind w:hanging="720" w:start="720" w:end="0"/>
    </w:pPr>
    <w:rPr/>
  </w:style>
  <w:style w:type="paragraph" w:styleId="ListBullet5">
    <w:name w:val="List Bullet 5"/>
    <w:basedOn w:val="ListBullet"/>
    <w:pPr>
      <w:ind w:hanging="720" w:start="3600" w:end="0"/>
    </w:pPr>
    <w:rPr/>
  </w:style>
  <w:style w:type="paragraph" w:styleId="List7">
    <w:name w:val="List 7"/>
    <w:basedOn w:val="ListBullet"/>
    <w:qFormat/>
    <w:pPr>
      <w:ind w:hanging="720" w:start="5040" w:end="0"/>
    </w:pPr>
    <w:rPr/>
  </w:style>
  <w:style w:type="paragraph" w:styleId="List6">
    <w:name w:val="List 6"/>
    <w:basedOn w:val="ListBullet"/>
    <w:qFormat/>
    <w:pPr>
      <w:ind w:hanging="720" w:start="4320" w:end="0"/>
    </w:pPr>
    <w:rPr/>
  </w:style>
  <w:style w:type="paragraph" w:styleId="LetterText">
    <w:name w:val="Letter Text"/>
    <w:basedOn w:val="Normal"/>
    <w:qFormat/>
    <w:pPr>
      <w:spacing w:before="240" w:after="0"/>
      <w:ind w:firstLine="1440" w:start="0" w:end="0"/>
    </w:pPr>
    <w:rPr/>
  </w:style>
  <w:style w:type="paragraph" w:styleId="Interrogatory1">
    <w:name w:val="Interrogatory 1"/>
    <w:basedOn w:val="Normal"/>
    <w:next w:val="Interrogatory1Text"/>
    <w:qFormat/>
    <w:pPr>
      <w:keepNext w:val="true"/>
      <w:keepLines/>
      <w:spacing w:before="240" w:after="0"/>
    </w:pPr>
    <w:rPr>
      <w:b/>
      <w:u w:val="single"/>
    </w:rPr>
  </w:style>
  <w:style w:type="paragraph" w:styleId="Interrogatory1Text">
    <w:name w:val="Interrogatory 1 Text"/>
    <w:basedOn w:val="Normal"/>
    <w:qFormat/>
    <w:pPr>
      <w:spacing w:lineRule="exact" w:line="480"/>
      <w:ind w:firstLine="720" w:start="0" w:end="0"/>
    </w:pPr>
    <w:rPr/>
  </w:style>
  <w:style w:type="paragraph" w:styleId="ListBullet2">
    <w:name w:val="List Bullet 2"/>
    <w:basedOn w:val="ListBullet"/>
    <w:pPr>
      <w:ind w:hanging="720" w:start="1440" w:end="0"/>
    </w:pPr>
    <w:rPr/>
  </w:style>
  <w:style w:type="paragraph" w:styleId="ListBullet3">
    <w:name w:val="List Bullet 3"/>
    <w:basedOn w:val="ListBullet"/>
    <w:pPr>
      <w:ind w:hanging="720" w:start="2160" w:end="0"/>
    </w:pPr>
    <w:rPr/>
  </w:style>
  <w:style w:type="paragraph" w:styleId="ListBullet4">
    <w:name w:val="List Bullet 4"/>
    <w:basedOn w:val="ListBullet"/>
    <w:pPr>
      <w:ind w:hanging="720" w:start="2880" w:end="0"/>
    </w:pPr>
    <w:rPr/>
  </w:style>
  <w:style w:type="paragraph" w:styleId="Interrogatory2">
    <w:name w:val="Interrogatory 2"/>
    <w:basedOn w:val="Interrogatory1"/>
    <w:next w:val="Interrogatory2Text"/>
    <w:qFormat/>
    <w:pPr/>
    <w:rPr/>
  </w:style>
  <w:style w:type="paragraph" w:styleId="Interrogatory2Text">
    <w:name w:val="Interrogatory 2 Text"/>
    <w:basedOn w:val="Interrogatory1Text"/>
    <w:qFormat/>
    <w:pPr/>
    <w:rPr/>
  </w:style>
  <w:style w:type="paragraph" w:styleId="Interrogatory3">
    <w:name w:val="Interrogatory 3"/>
    <w:basedOn w:val="Interrogatory1"/>
    <w:next w:val="Interrogatory3Text"/>
    <w:qFormat/>
    <w:pPr/>
    <w:rPr/>
  </w:style>
  <w:style w:type="paragraph" w:styleId="Interrogatory3Text">
    <w:name w:val="Interrogatory 3 Text"/>
    <w:basedOn w:val="Interrogatory1Text"/>
    <w:qFormat/>
    <w:pPr/>
    <w:rPr/>
  </w:style>
  <w:style w:type="paragraph" w:styleId="Interrogatory4">
    <w:name w:val="Interrogatory 4"/>
    <w:basedOn w:val="Interrogatory1"/>
    <w:next w:val="Interrogatory4Text"/>
    <w:qFormat/>
    <w:pPr/>
    <w:rPr/>
  </w:style>
  <w:style w:type="paragraph" w:styleId="Interrogatory4Text">
    <w:name w:val="Interrogatory 4 Text"/>
    <w:basedOn w:val="Interrogatory1Text"/>
    <w:qFormat/>
    <w:pPr/>
    <w:rPr/>
  </w:style>
  <w:style w:type="paragraph" w:styleId="Interrogatory5">
    <w:name w:val="Interrogatory 5"/>
    <w:basedOn w:val="Interrogatory1"/>
    <w:next w:val="Interrogatory5Text"/>
    <w:qFormat/>
    <w:pPr/>
    <w:rPr/>
  </w:style>
  <w:style w:type="paragraph" w:styleId="Interrogatory5Text">
    <w:name w:val="Interrogatory 5 Text"/>
    <w:basedOn w:val="Interrogatory1Text"/>
    <w:qFormat/>
    <w:pPr/>
    <w:rPr/>
  </w:style>
  <w:style w:type="paragraph" w:styleId="Interrogatory6">
    <w:name w:val="Interrogatory 6"/>
    <w:basedOn w:val="Interrogatory1"/>
    <w:next w:val="Interrogatory6Text"/>
    <w:qFormat/>
    <w:pPr/>
    <w:rPr/>
  </w:style>
  <w:style w:type="paragraph" w:styleId="Interrogatory6Text">
    <w:name w:val="Interrogatory 6 Text"/>
    <w:basedOn w:val="Interrogatory1Text"/>
    <w:qFormat/>
    <w:pPr/>
    <w:rPr/>
  </w:style>
  <w:style w:type="paragraph" w:styleId="Interrogatory7">
    <w:name w:val="Interrogatory 7"/>
    <w:basedOn w:val="Interrogatory1"/>
    <w:next w:val="Interrogatory7Text"/>
    <w:qFormat/>
    <w:pPr/>
    <w:rPr/>
  </w:style>
  <w:style w:type="paragraph" w:styleId="Interrogatory7Text">
    <w:name w:val="Interrogatory 7 Text"/>
    <w:basedOn w:val="Interrogatory1Text"/>
    <w:qFormat/>
    <w:pPr/>
    <w:rPr/>
  </w:style>
  <w:style w:type="paragraph" w:styleId="Interrogatory8">
    <w:name w:val="Interrogatory 8"/>
    <w:basedOn w:val="Interrogatory1"/>
    <w:next w:val="Interrogatory8Text"/>
    <w:qFormat/>
    <w:pPr/>
    <w:rPr/>
  </w:style>
  <w:style w:type="paragraph" w:styleId="Interrogatory8Text">
    <w:name w:val="Interrogatory 8 Text"/>
    <w:basedOn w:val="Interrogatory1Text"/>
    <w:qFormat/>
    <w:pPr/>
    <w:rPr/>
  </w:style>
  <w:style w:type="paragraph" w:styleId="Quote1">
    <w:name w:val="Quote 1"/>
    <w:basedOn w:val="Normal"/>
    <w:qFormat/>
    <w:pPr>
      <w:spacing w:before="240" w:after="0"/>
      <w:ind w:hanging="0" w:start="1440" w:end="1440"/>
    </w:pPr>
    <w:rPr/>
  </w:style>
  <w:style w:type="paragraph" w:styleId="Quote2">
    <w:name w:val="Quote 2"/>
    <w:basedOn w:val="Quote1"/>
    <w:qFormat/>
    <w:pPr>
      <w:ind w:hanging="0" w:start="2160" w:end="2160"/>
    </w:pPr>
    <w:rPr/>
  </w:style>
  <w:style w:type="paragraph" w:styleId="Quote3">
    <w:name w:val="Quote 3"/>
    <w:basedOn w:val="Quote2"/>
    <w:qFormat/>
    <w:pPr>
      <w:ind w:hanging="0" w:start="2880" w:end="2880"/>
    </w:pPr>
    <w:rPr/>
  </w:style>
  <w:style w:type="paragraph" w:styleId="Quote4">
    <w:name w:val="Quote 4"/>
    <w:basedOn w:val="Quote2"/>
    <w:qFormat/>
    <w:pPr>
      <w:ind w:hanging="0" w:start="3600" w:end="3600"/>
    </w:pPr>
    <w:rPr/>
  </w:style>
  <w:style w:type="paragraph" w:styleId="Quote5">
    <w:name w:val="Quote 5"/>
    <w:basedOn w:val="Quote2"/>
    <w:qFormat/>
    <w:pPr>
      <w:ind w:hanging="0" w:start="4320" w:end="4320"/>
    </w:pPr>
    <w:rPr/>
  </w:style>
  <w:style w:type="paragraph" w:styleId="Quote6">
    <w:name w:val="Quote 6"/>
    <w:basedOn w:val="Quote2"/>
    <w:qFormat/>
    <w:pPr>
      <w:ind w:hanging="0" w:start="4320" w:end="4320"/>
    </w:pPr>
    <w:rPr/>
  </w:style>
  <w:style w:type="paragraph" w:styleId="Quote7">
    <w:name w:val="Quote 7"/>
    <w:basedOn w:val="Quote2"/>
    <w:qFormat/>
    <w:pPr>
      <w:ind w:hanging="0" w:start="4320" w:end="4320"/>
    </w:pPr>
    <w:rPr/>
  </w:style>
  <w:style w:type="paragraph" w:styleId="QuoteFootnote">
    <w:name w:val="Quote Footnote"/>
    <w:basedOn w:val="Normal"/>
    <w:qFormat/>
    <w:pPr>
      <w:spacing w:lineRule="atLeast" w:line="240"/>
      <w:ind w:hanging="0" w:start="1440" w:end="0"/>
    </w:pPr>
    <w:rPr/>
  </w:style>
  <w:style w:type="paragraph" w:styleId="MemoText">
    <w:name w:val="Memo Text"/>
    <w:basedOn w:val="Normal"/>
    <w:qFormat/>
    <w:pPr>
      <w:spacing w:before="240" w:after="0"/>
      <w:ind w:firstLine="1440" w:start="0" w:end="0"/>
    </w:pPr>
    <w:rPr/>
  </w:style>
  <w:style w:type="paragraph" w:styleId="BriefText">
    <w:name w:val="Brief Text"/>
    <w:basedOn w:val="Normal"/>
    <w:qFormat/>
    <w:pPr>
      <w:spacing w:lineRule="exact" w:line="480"/>
    </w:pPr>
    <w:rPr/>
  </w:style>
  <w:style w:type="paragraph" w:styleId="PleadingText">
    <w:name w:val="Pleading Text"/>
    <w:basedOn w:val="Normal"/>
    <w:qFormat/>
    <w:pPr>
      <w:spacing w:lineRule="exact" w:line="480"/>
    </w:pPr>
    <w:rPr/>
  </w:style>
  <w:style w:type="paragraph" w:styleId="Quote8">
    <w:name w:val="Quote 8"/>
    <w:basedOn w:val="Quote2"/>
    <w:qFormat/>
    <w:pPr>
      <w:ind w:hanging="0" w:start="4320" w:end="4320"/>
    </w:pPr>
    <w:rPr/>
  </w:style>
  <w:style w:type="paragraph" w:styleId="Quote9">
    <w:name w:val="Quote 9"/>
    <w:basedOn w:val="Quote2"/>
    <w:qFormat/>
    <w:pPr>
      <w:ind w:hanging="0" w:start="4320" w:end="4320"/>
    </w:pPr>
    <w:rPr/>
  </w:style>
  <w:style w:type="paragraph" w:styleId="PlainText">
    <w:name w:val="Plain Text"/>
    <w:basedOn w:val="Normal"/>
    <w:qFormat/>
    <w:pPr/>
    <w:rPr/>
  </w:style>
  <w:style w:type="paragraph" w:styleId="Date">
    <w:name w:val="Date"/>
    <w:basedOn w:val="Normal"/>
    <w:next w:val="Normal"/>
    <w:qFormat/>
    <w:pPr>
      <w:spacing w:lineRule="exact" w:line="480" w:before="480" w:after="0"/>
    </w:pPr>
    <w:rPr/>
  </w:style>
  <w:style w:type="paragraph" w:styleId="InsideAddress">
    <w:name w:val="Inside Address"/>
    <w:basedOn w:val="Normal"/>
    <w:qFormat/>
    <w:pPr>
      <w:spacing w:lineRule="exact" w:line="480"/>
    </w:pPr>
    <w:rPr>
      <w:color w:val="FF0000"/>
    </w:rPr>
  </w:style>
  <w:style w:type="paragraph" w:styleId="Salutation">
    <w:name w:val="Salutation"/>
    <w:basedOn w:val="Normal"/>
    <w:next w:val="Re"/>
    <w:qFormat/>
    <w:pPr>
      <w:spacing w:before="240" w:after="0"/>
    </w:pPr>
    <w:rPr/>
  </w:style>
  <w:style w:type="paragraph" w:styleId="Re">
    <w:name w:val="Re:"/>
    <w:basedOn w:val="Normal"/>
    <w:next w:val="Normal"/>
    <w:qFormat/>
    <w:pPr>
      <w:spacing w:before="240" w:after="0"/>
      <w:ind w:hanging="0" w:start="720" w:end="0"/>
    </w:pPr>
    <w:rPr>
      <w:caps/>
    </w:rPr>
  </w:style>
  <w:style w:type="paragraph" w:styleId="Closing">
    <w:name w:val="Closing"/>
    <w:basedOn w:val="Normal"/>
    <w:qFormat/>
    <w:pPr>
      <w:keepNext w:val="true"/>
      <w:spacing w:before="480" w:after="0"/>
      <w:ind w:hanging="0" w:start="3960" w:end="0"/>
    </w:pPr>
    <w:rPr/>
  </w:style>
  <w:style w:type="paragraph" w:styleId="Closing2">
    <w:name w:val="Closing2"/>
    <w:basedOn w:val="Closing"/>
    <w:qFormat/>
    <w:pPr>
      <w:tabs>
        <w:tab w:val="clear" w:pos="720"/>
        <w:tab w:val="left" w:pos="3960" w:leader="none"/>
        <w:tab w:val="right" w:pos="8640" w:leader="underscore"/>
      </w:tabs>
      <w:ind w:hanging="720" w:start="3960" w:end="0"/>
    </w:pPr>
    <w:rPr/>
  </w:style>
  <w:style w:type="paragraph" w:styleId="cc">
    <w:name w:val="cc:"/>
    <w:basedOn w:val="Normal"/>
    <w:next w:val="Normal"/>
    <w:qFormat/>
    <w:pPr>
      <w:spacing w:lineRule="atLeast" w:line="480" w:before="240" w:after="0"/>
      <w:ind w:hanging="446" w:start="446" w:end="0"/>
    </w:pPr>
    <w:rPr/>
  </w:style>
  <w:style w:type="paragraph" w:styleId="heading11">
    <w:name w:val="heading 1+"/>
    <w:basedOn w:val="Heading1"/>
    <w:qFormat/>
    <w:pPr>
      <w:numPr>
        <w:ilvl w:val="0"/>
        <w:numId w:val="0"/>
      </w:numPr>
      <w:spacing w:before="0" w:after="0"/>
      <w:ind w:hanging="0" w:start="0" w:end="0"/>
      <w:outlineLvl w:val="9"/>
    </w:pPr>
    <w:rPr>
      <w:caps w:val="false"/>
      <w:smallCaps w:val="false"/>
    </w:rPr>
  </w:style>
  <w:style w:type="paragraph" w:styleId="zCaption">
    <w:name w:val="zCaption"/>
    <w:basedOn w:val="Normal"/>
    <w:qFormat/>
    <w:pPr/>
    <w:rPr/>
  </w:style>
  <w:style w:type="paragraph" w:styleId="zAppNo">
    <w:name w:val="zAppNo"/>
    <w:basedOn w:val="Normal"/>
    <w:qFormat/>
    <w:pPr>
      <w:spacing w:lineRule="atLeast" w:line="240" w:before="240" w:after="0"/>
      <w:jc w:val="center"/>
    </w:pPr>
    <w:rPr/>
  </w:style>
  <w:style w:type="paragraph" w:styleId="header2">
    <w:name w:val="header2"/>
    <w:basedOn w:val="Normal"/>
    <w:qFormat/>
    <w:pPr>
      <w:tabs>
        <w:tab w:val="clear" w:pos="720"/>
        <w:tab w:val="center" w:pos="4320" w:leader="none"/>
        <w:tab w:val="center" w:pos="8640" w:leader="none"/>
      </w:tabs>
      <w:spacing w:lineRule="atLeast" w:line="240"/>
    </w:pPr>
    <w:rPr>
      <w:u w:val="single"/>
    </w:rPr>
  </w:style>
  <w:style w:type="paragraph" w:styleId="zAttorneyNames">
    <w:name w:val="zAttorney Names"/>
    <w:basedOn w:val="Normal"/>
    <w:qFormat/>
    <w:pPr>
      <w:keepNext w:val="true"/>
      <w:keepLines/>
      <w:ind w:hanging="0" w:start="3600" w:end="0"/>
    </w:pPr>
    <w:rPr>
      <w:color w:val="FF00FF"/>
    </w:rPr>
  </w:style>
  <w:style w:type="paragraph" w:styleId="zDate">
    <w:name w:val="zDate"/>
    <w:basedOn w:val="Normal"/>
    <w:qFormat/>
    <w:pPr>
      <w:spacing w:lineRule="exact" w:line="480" w:before="240" w:after="0"/>
    </w:pPr>
    <w:rPr>
      <w:color w:val="0000FF"/>
    </w:rPr>
  </w:style>
  <w:style w:type="paragraph" w:styleId="zTitle1">
    <w:name w:val="zTitle1"/>
    <w:basedOn w:val="Normal"/>
    <w:next w:val="Normal"/>
    <w:qFormat/>
    <w:pPr>
      <w:spacing w:lineRule="atLeast" w:line="240" w:before="240" w:after="576"/>
      <w:jc w:val="center"/>
    </w:pPr>
    <w:rPr>
      <w:b/>
      <w:i/>
      <w:color w:val="FF0000"/>
      <w:sz w:val="28"/>
    </w:rPr>
  </w:style>
  <w:style w:type="paragraph" w:styleId="zAttorney">
    <w:name w:val="zAttorney"/>
    <w:basedOn w:val="Normal"/>
    <w:qFormat/>
    <w:pPr>
      <w:spacing w:lineRule="atLeast" w:line="240" w:before="173" w:after="0"/>
      <w:ind w:hanging="0" w:start="0" w:end="3600"/>
    </w:pPr>
    <w:rPr>
      <w:sz w:val="20"/>
    </w:rPr>
  </w:style>
  <w:style w:type="paragraph" w:styleId="zEdisonAddress2">
    <w:name w:val="zEdison Address2"/>
    <w:basedOn w:val="Normal"/>
    <w:qFormat/>
    <w:pPr>
      <w:keepNext w:val="true"/>
      <w:keepLines/>
      <w:spacing w:before="240" w:after="0"/>
    </w:pPr>
    <w:rPr/>
  </w:style>
  <w:style w:type="paragraph" w:styleId="zHeader">
    <w:name w:val="zHeader"/>
    <w:basedOn w:val="Normal"/>
    <w:qFormat/>
    <w:pPr>
      <w:spacing w:lineRule="exact" w:line="480" w:before="0" w:after="480"/>
      <w:jc w:val="center"/>
    </w:pPr>
    <w:rPr>
      <w:b/>
    </w:rPr>
  </w:style>
  <w:style w:type="paragraph" w:styleId="zClosing">
    <w:name w:val="zClosing"/>
    <w:basedOn w:val="Normal"/>
    <w:qFormat/>
    <w:pPr>
      <w:keepNext w:val="true"/>
      <w:keepLines/>
      <w:spacing w:before="1080" w:after="0"/>
      <w:ind w:hanging="0" w:start="3960" w:end="0"/>
    </w:pPr>
    <w:rPr/>
  </w:style>
  <w:style w:type="paragraph" w:styleId="zParen">
    <w:name w:val="zParen"/>
    <w:basedOn w:val="Normal"/>
    <w:qFormat/>
    <w:pPr>
      <w:spacing w:lineRule="atLeast" w:line="240"/>
    </w:pPr>
    <w:rPr/>
  </w:style>
  <w:style w:type="paragraph" w:styleId="zBriefFooter">
    <w:name w:val="zBriefFooter"/>
    <w:basedOn w:val="Normal"/>
    <w:qFormat/>
    <w:pPr>
      <w:tabs>
        <w:tab w:val="clear" w:pos="720"/>
        <w:tab w:val="left" w:pos="5040" w:leader="none"/>
      </w:tabs>
    </w:pPr>
    <w:rPr>
      <w:sz w:val="16"/>
    </w:rPr>
  </w:style>
  <w:style w:type="paragraph" w:styleId="zDate2">
    <w:name w:val="zDate2"/>
    <w:basedOn w:val="Normal"/>
    <w:qFormat/>
    <w:pPr>
      <w:spacing w:before="480" w:after="0"/>
    </w:pPr>
    <w:rPr/>
  </w:style>
  <w:style w:type="paragraph" w:styleId="zCaptionSeparator">
    <w:name w:val="zCaption Separator"/>
    <w:basedOn w:val="Normal"/>
    <w:next w:val="zCaption"/>
    <w:qFormat/>
    <w:pPr>
      <w:pBdr>
        <w:bottom w:val="single" w:sz="6" w:space="1" w:color="000000"/>
      </w:pBdr>
    </w:pPr>
    <w:rPr/>
  </w:style>
  <w:style w:type="paragraph" w:styleId="Enclosures">
    <w:name w:val="Enclosures"/>
    <w:basedOn w:val="Normal"/>
    <w:qFormat/>
    <w:pPr>
      <w:spacing w:lineRule="atLeast" w:line="240"/>
    </w:pPr>
    <w:rPr/>
  </w:style>
  <w:style w:type="paragraph" w:styleId="zLine-nums">
    <w:name w:val="zLine-nums"/>
    <w:basedOn w:val="Normal"/>
    <w:qFormat/>
    <w:pPr>
      <w:spacing w:lineRule="exact" w:line="480"/>
      <w:jc w:val="end"/>
    </w:pPr>
    <w:rPr/>
  </w:style>
  <w:style w:type="paragraph" w:styleId="zLine-nums2">
    <w:name w:val="zLine-nums 2"/>
    <w:basedOn w:val="Normal"/>
    <w:qFormat/>
    <w:pPr>
      <w:spacing w:lineRule="atLeast" w:line="240"/>
    </w:pPr>
    <w:rPr/>
  </w:style>
  <w:style w:type="paragraph" w:styleId="zLine-nums3">
    <w:name w:val="zLine-nums 3"/>
    <w:basedOn w:val="Normal"/>
    <w:qFormat/>
    <w:pPr/>
    <w:rPr/>
  </w:style>
  <w:style w:type="paragraph" w:styleId="InterrogResponse">
    <w:name w:val="Interrog Response"/>
    <w:basedOn w:val="Normal"/>
    <w:qFormat/>
    <w:pPr>
      <w:spacing w:lineRule="exact" w:line="480"/>
    </w:pPr>
    <w:rPr>
      <w:b/>
    </w:rPr>
  </w:style>
  <w:style w:type="paragraph" w:styleId="Interrogatory">
    <w:name w:val="Interrogatory"/>
    <w:basedOn w:val="Normal"/>
    <w:next w:val="Heading1Text"/>
    <w:qFormat/>
    <w:pPr>
      <w:spacing w:lineRule="exact" w:line="480"/>
    </w:pPr>
    <w:rPr>
      <w:b/>
    </w:rPr>
  </w:style>
  <w:style w:type="paragraph" w:styleId="zAttorneysForCOSPage">
    <w:name w:val="zAttorneysForCOSPage"/>
    <w:basedOn w:val="Normal"/>
    <w:qFormat/>
    <w:pPr>
      <w:keepNext w:val="true"/>
      <w:keepLines/>
      <w:spacing w:before="480" w:after="0"/>
      <w:ind w:hanging="0" w:start="3600" w:end="0"/>
    </w:pPr>
    <w:rPr/>
  </w:style>
  <w:style w:type="paragraph" w:styleId="zEdisonAddressCOSPage">
    <w:name w:val="zEdisonAddressCOSPage"/>
    <w:basedOn w:val="Normal"/>
    <w:qFormat/>
    <w:pPr>
      <w:keepNext w:val="true"/>
      <w:keepLines/>
      <w:spacing w:before="240" w:after="0"/>
      <w:ind w:hanging="0" w:start="4320" w:end="0"/>
    </w:pPr>
    <w:rPr/>
  </w:style>
  <w:style w:type="paragraph" w:styleId="zDefendent">
    <w:name w:val="zDefendent"/>
    <w:basedOn w:val="Normal"/>
    <w:qFormat/>
    <w:pPr>
      <w:spacing w:lineRule="atLeast" w:line="240" w:before="240" w:after="280"/>
      <w:ind w:hanging="0" w:start="1440" w:end="0"/>
    </w:pPr>
    <w:rPr/>
  </w:style>
  <w:style w:type="paragraph" w:styleId="zEdisonAddress">
    <w:name w:val="zEdison Address"/>
    <w:basedOn w:val="Normal"/>
    <w:qFormat/>
    <w:pPr>
      <w:spacing w:before="240" w:after="0"/>
      <w:ind w:hanging="0" w:start="5040" w:end="0"/>
    </w:pPr>
    <w:rPr/>
  </w:style>
  <w:style w:type="paragraph" w:styleId="CertificateText">
    <w:name w:val="Certificate Text"/>
    <w:basedOn w:val="LetterText"/>
    <w:qFormat/>
    <w:pPr>
      <w:spacing w:lineRule="atLeast" w:line="480" w:before="0" w:after="240"/>
      <w:ind w:firstLine="720" w:start="0" w:end="0"/>
    </w:pPr>
    <w:rPr/>
  </w:style>
  <w:style w:type="paragraph" w:styleId="zTitle">
    <w:name w:val="zTitle"/>
    <w:basedOn w:val="Normal"/>
    <w:qFormat/>
    <w:pPr>
      <w:spacing w:lineRule="atLeast" w:line="360" w:before="0" w:after="720"/>
      <w:jc w:val="center"/>
    </w:pPr>
    <w:rPr>
      <w:b/>
      <w:caps/>
      <w:color w:val="FF00FF"/>
      <w:u w:val="single"/>
    </w:rPr>
  </w:style>
  <w:style w:type="paragraph" w:styleId="zTOCHeader">
    <w:name w:val="zTOCHeader"/>
    <w:basedOn w:val="Normal"/>
    <w:qFormat/>
    <w:pPr/>
    <w:rPr>
      <w:u w:val="single"/>
    </w:rPr>
  </w:style>
  <w:style w:type="paragraph" w:styleId="zPhone">
    <w:name w:val="zPhone"/>
    <w:basedOn w:val="Normal"/>
    <w:qFormat/>
    <w:pPr>
      <w:keepNext w:val="true"/>
      <w:ind w:hanging="0" w:start="4320" w:end="0"/>
    </w:pPr>
    <w:rPr>
      <w:color w:val="0000FF"/>
    </w:rPr>
  </w:style>
  <w:style w:type="paragraph" w:styleId="zAuthorName">
    <w:name w:val="zAuthorName"/>
    <w:basedOn w:val="Normal"/>
    <w:qFormat/>
    <w:pPr/>
    <w:rPr>
      <w:color w:val="0000FF"/>
    </w:rPr>
  </w:style>
  <w:style w:type="paragraph" w:styleId="zLetterText">
    <w:name w:val="zLetter Text"/>
    <w:basedOn w:val="Normal"/>
    <w:qFormat/>
    <w:pPr>
      <w:spacing w:lineRule="atLeast" w:line="240" w:before="240" w:after="0"/>
    </w:pPr>
    <w:rPr/>
  </w:style>
  <w:style w:type="paragraph" w:styleId="footnoteseparator">
    <w:name w:val="footnote separator"/>
    <w:basedOn w:val="Normal"/>
    <w:qFormat/>
    <w:pPr>
      <w:spacing w:lineRule="exact" w:line="240" w:before="0" w:after="240"/>
    </w:pPr>
    <w:rPr/>
  </w:style>
  <w:style w:type="paragraph" w:styleId="zAttorneysFor">
    <w:name w:val="zAttorneysFor"/>
    <w:basedOn w:val="Normal"/>
    <w:next w:val="zEdisonAddress"/>
    <w:qFormat/>
    <w:pPr>
      <w:keepNext w:val="true"/>
      <w:spacing w:before="480" w:after="0"/>
      <w:ind w:hanging="0" w:start="3600" w:end="0"/>
    </w:pPr>
    <w:rPr/>
  </w:style>
  <w:style w:type="paragraph" w:styleId="zEdisonAddressTitlePage">
    <w:name w:val="zEdisonAddressTitlePage"/>
    <w:basedOn w:val="Normal"/>
    <w:qFormat/>
    <w:pPr>
      <w:keepNext w:val="true"/>
      <w:keepLines/>
      <w:spacing w:before="240" w:after="0"/>
      <w:ind w:hanging="0" w:start="4320" w:end="0"/>
    </w:pPr>
    <w:rPr/>
  </w:style>
  <w:style w:type="paragraph" w:styleId="zAttorneysForTitlePage">
    <w:name w:val="zAttorneysForTitlePage"/>
    <w:basedOn w:val="Normal"/>
    <w:qFormat/>
    <w:pPr>
      <w:keepNext w:val="true"/>
      <w:keepLines/>
      <w:spacing w:before="120" w:after="0"/>
      <w:ind w:hanging="0" w:start="3600" w:end="0"/>
    </w:pPr>
    <w:rPr/>
  </w:style>
  <w:style w:type="paragraph" w:styleId="zEdisonAddress1">
    <w:name w:val="zEdisonAddress"/>
    <w:basedOn w:val="Normal"/>
    <w:qFormat/>
    <w:pPr>
      <w:spacing w:lineRule="exact" w:line="240"/>
    </w:pPr>
    <w:rPr>
      <w:rFonts w:ascii="Times" w:hAnsi="Times" w:cs="Times"/>
      <w:sz w:val="20"/>
    </w:rPr>
  </w:style>
  <w:style w:type="paragraph" w:styleId="zAttorneysFor1">
    <w:name w:val="zAttorneys For"/>
    <w:basedOn w:val="zEdisonAddress1"/>
    <w:qFormat/>
    <w:pPr>
      <w:spacing w:before="240" w:after="0"/>
    </w:pPr>
    <w:rPr/>
  </w:style>
  <w:style w:type="paragraph" w:styleId="zEdisonAddressCOSPage1">
    <w:name w:val="zEdison Address COS Page"/>
    <w:basedOn w:val="Normal"/>
    <w:qFormat/>
    <w:pPr>
      <w:keepNext w:val="true"/>
      <w:keepLines/>
      <w:ind w:hanging="0" w:start="4320" w:end="0"/>
    </w:pPr>
    <w:rPr/>
  </w:style>
  <w:style w:type="paragraph" w:styleId="zPhoneCOSPage">
    <w:name w:val="zPhoneCOSPage"/>
    <w:basedOn w:val="Normal"/>
    <w:qFormat/>
    <w:pPr>
      <w:ind w:hanging="0" w:start="4320" w:end="0"/>
    </w:pPr>
    <w:rPr/>
  </w:style>
  <w:style w:type="paragraph" w:styleId="heading3Text1">
    <w:name w:val="heading 3 Text1"/>
    <w:basedOn w:val="Heading2Text"/>
    <w:qFormat/>
    <w:pPr>
      <w:spacing w:lineRule="exact" w:line="480"/>
      <w:ind w:firstLine="1440" w:start="720" w:end="0"/>
    </w:pPr>
    <w:rPr>
      <w:rFonts w:ascii="Courier" w:hAnsi="Courier" w:cs="Courier"/>
    </w:rPr>
  </w:style>
  <w:style w:type="paragraph" w:styleId="heading4Text1">
    <w:name w:val="heading 4 Text1"/>
    <w:basedOn w:val="heading3Text1"/>
    <w:qFormat/>
    <w:pPr>
      <w:ind w:firstLine="1440" w:start="1440" w:end="0"/>
    </w:pPr>
    <w:rPr/>
  </w:style>
  <w:style w:type="paragraph" w:styleId="heading5Text1">
    <w:name w:val="heading 5 Text1"/>
    <w:basedOn w:val="heading4Text1"/>
    <w:qFormat/>
    <w:pPr>
      <w:ind w:firstLine="1440" w:start="2160" w:end="0"/>
    </w:pPr>
    <w:rPr/>
  </w:style>
  <w:style w:type="paragraph" w:styleId="heading6Text1">
    <w:name w:val="heading 6 Text1"/>
    <w:basedOn w:val="Heading1Text"/>
    <w:qFormat/>
    <w:pPr>
      <w:spacing w:lineRule="exact" w:line="480"/>
      <w:ind w:firstLine="720" w:start="2880" w:end="0"/>
    </w:pPr>
    <w:rPr>
      <w:rFonts w:ascii="Courier" w:hAnsi="Courier" w:cs="Courier"/>
    </w:rPr>
  </w:style>
  <w:style w:type="paragraph" w:styleId="heading7Text1">
    <w:name w:val="heading 7 Text1"/>
    <w:basedOn w:val="Heading2Text"/>
    <w:qFormat/>
    <w:pPr>
      <w:spacing w:lineRule="exact" w:line="480"/>
      <w:ind w:firstLine="720" w:start="3600" w:end="0"/>
    </w:pPr>
    <w:rPr>
      <w:rFonts w:ascii="Courier" w:hAnsi="Courier" w:cs="Courier"/>
    </w:rPr>
  </w:style>
  <w:style w:type="paragraph" w:styleId="heading8Text1">
    <w:name w:val="heading 8 Text1"/>
    <w:basedOn w:val="Heading2Text"/>
    <w:qFormat/>
    <w:pPr>
      <w:spacing w:lineRule="exact" w:line="480"/>
      <w:ind w:firstLine="720" w:start="4320" w:end="0"/>
    </w:pPr>
    <w:rPr>
      <w:rFonts w:ascii="Courier" w:hAnsi="Courier" w:cs="Courier"/>
    </w:rPr>
  </w:style>
  <w:style w:type="paragraph" w:styleId="heading9Text1">
    <w:name w:val="heading 9 Text1"/>
    <w:basedOn w:val="Heading2Text"/>
    <w:qFormat/>
    <w:pPr>
      <w:spacing w:lineRule="exact" w:line="480"/>
      <w:ind w:firstLine="720" w:start="5040" w:end="0"/>
    </w:pPr>
    <w:rPr>
      <w:rFonts w:ascii="Courier" w:hAnsi="Courier" w:cs="Courier"/>
    </w:rPr>
  </w:style>
  <w:style w:type="paragraph" w:styleId="zFacsimile">
    <w:name w:val="zFacsimile"/>
    <w:basedOn w:val="Normal"/>
    <w:qFormat/>
    <w:pPr>
      <w:keepNext w:val="true"/>
      <w:ind w:hanging="0" w:start="4320" w:end="0"/>
    </w:pPr>
    <w:rPr>
      <w:color w:val="0000FF"/>
    </w:rPr>
  </w:style>
  <w:style w:type="paragraph" w:styleId="zHeaderAuthorName">
    <w:name w:val="zHeaderAuthorName"/>
    <w:basedOn w:val="Normal"/>
    <w:next w:val="Normal"/>
    <w:qFormat/>
    <w:pPr>
      <w:spacing w:before="240" w:after="29"/>
      <w:ind w:hanging="0" w:start="720" w:end="0"/>
    </w:pPr>
    <w:rPr>
      <w:rFonts w:ascii="Times New Roman" w:hAnsi="Times New Roman" w:cs="Times New Roman"/>
      <w:b/>
      <w:color w:val="000000"/>
      <w:sz w:val="18"/>
    </w:rPr>
  </w:style>
  <w:style w:type="paragraph" w:styleId="zHeaderAuthorTitle">
    <w:name w:val="zHeaderAuthorTitle"/>
    <w:basedOn w:val="Normal"/>
    <w:qFormat/>
    <w:pPr>
      <w:ind w:hanging="0" w:start="720" w:end="0"/>
    </w:pPr>
    <w:rPr>
      <w:rFonts w:ascii="Times New Roman" w:hAnsi="Times New Roman" w:cs="Times New Roman"/>
      <w:color w:val="000000"/>
      <w:spacing w:val="-1"/>
      <w:sz w:val="18"/>
    </w:rPr>
  </w:style>
  <w:style w:type="paragraph" w:styleId="zHeaderLogo">
    <w:name w:val="zHeaderLogo"/>
    <w:basedOn w:val="Normal"/>
    <w:next w:val="Normal"/>
    <w:qFormat/>
    <w:pPr>
      <w:spacing w:before="120" w:after="0"/>
    </w:pPr>
    <w:rPr>
      <w:rFonts w:ascii="Times New Roman" w:hAnsi="Times New Roman" w:cs="Times New Roman"/>
      <w:sz w:val="16"/>
    </w:rPr>
  </w:style>
  <w:style w:type="paragraph" w:styleId="zEmail">
    <w:name w:val="zEmail"/>
    <w:basedOn w:val="zFacsimile"/>
    <w:qFormat/>
    <w:pPr>
      <w:spacing w:before="0" w:after="240"/>
    </w:pPr>
    <w:rPr/>
  </w:style>
  <w:style w:type="paragraph" w:styleId="TOCTitle">
    <w:name w:val="TOC Title"/>
    <w:basedOn w:val="Normal"/>
    <w:qFormat/>
    <w:pPr>
      <w:spacing w:lineRule="atLeast" w:line="240" w:before="0" w:after="240"/>
      <w:jc w:val="center"/>
    </w:pPr>
    <w:rPr>
      <w:rFonts w:ascii="Courier" w:hAnsi="Courier" w:cs="Courier"/>
      <w:caps/>
      <w:u w:val="single"/>
    </w:rPr>
  </w:style>
  <w:style w:type="paragraph" w:styleId="TOCtable">
    <w:name w:val="TOCtable"/>
    <w:basedOn w:val="Normal"/>
    <w:qFormat/>
    <w:pPr>
      <w:shd w:fill="000000" w:val="clear"/>
      <w:spacing w:lineRule="atLeast" w:line="240"/>
      <w:jc w:val="center"/>
    </w:pPr>
    <w:rPr>
      <w:rFonts w:ascii="Helvetica-Narrow" w:hAnsi="Helvetica-Narrow" w:cs="Helvetica-Narrow"/>
      <w:b/>
      <w:color w:val="FFFFFF"/>
    </w:rPr>
  </w:style>
  <w:style w:type="paragraph" w:styleId="FilingTitle">
    <w:name w:val="Filing Title"/>
    <w:basedOn w:val="Normal"/>
    <w:qFormat/>
    <w:pPr>
      <w:suppressLineNumbers/>
      <w:spacing w:lineRule="atLeast" w:line="240" w:before="0" w:after="120"/>
      <w:jc w:val="center"/>
    </w:pPr>
    <w:rPr>
      <w:b/>
    </w:rPr>
  </w:style>
  <w:style w:type="paragraph" w:styleId="TOCColumnHeading">
    <w:name w:val="TOC Column Heading"/>
    <w:basedOn w:val="Normal"/>
    <w:qFormat/>
    <w:pPr/>
    <w:rPr>
      <w:sz w:val="20"/>
    </w:rPr>
  </w:style>
  <w:style w:type="paragraph" w:styleId="BlockText">
    <w:name w:val="Block Text"/>
    <w:basedOn w:val="Normal"/>
    <w:qFormat/>
    <w:pPr>
      <w:ind w:firstLine="720" w:start="-720" w:end="-720"/>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Edison Brief.dot</Template>
  <TotalTime>827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2001-06-25T18:21:00Z</dcterms:created>
  <dc:creator>Sarah C. Perez</dc:creator>
  <dc:description/>
  <dc:language>en-CA</dc:language>
  <cp:lastModifiedBy>Analene Arellano</cp:lastModifiedBy>
  <cp:lastPrinted>2001-11-06T16:11:00Z</cp:lastPrinted>
  <dcterms:modified xsi:type="dcterms:W3CDTF">2001-11-06T21:41:00Z</dcterms:modified>
  <cp:revision>89</cp:revision>
  <dc:subject/>
  <dc:title>SCE Brief</dc:title>
</cp:coreProperties>
</file>