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8"/>
        </w:rPr>
      </w:pPr>
      <w:r>
        <w:rPr>
          <w:b/>
          <w:sz w:val="28"/>
        </w:rPr>
        <w:t>Supporting Information</w:t>
      </w:r>
    </w:p>
    <w:p>
      <w:pPr>
        <w:pStyle w:val="BodyText"/>
        <w:jc w:val="center"/>
        <w:rPr>
          <w:b/>
          <w:sz w:val="28"/>
        </w:rPr>
      </w:pPr>
      <w:r>
        <w:rPr>
          <w:b/>
          <w:sz w:val="28"/>
        </w:rPr>
        <w:t>Document 1</w:t>
      </w:r>
    </w:p>
    <w:p>
      <w:pPr>
        <w:pStyle w:val="BodyText"/>
        <w:jc w:val="center"/>
        <w:rPr>
          <w:b/>
          <w:sz w:val="28"/>
        </w:rPr>
      </w:pPr>
      <w:r>
        <w:rPr>
          <w:b/>
          <w:sz w:val="28"/>
        </w:rPr>
      </w:r>
    </w:p>
    <w:p>
      <w:pPr>
        <w:pStyle w:val="BodyText"/>
        <w:jc w:val="center"/>
        <w:rPr>
          <w:b/>
          <w:sz w:val="28"/>
        </w:rPr>
      </w:pPr>
      <w:r>
        <w:rPr>
          <w:b/>
          <w:sz w:val="28"/>
        </w:rPr>
      </w:r>
    </w:p>
    <w:p>
      <w:pPr>
        <w:pStyle w:val="BodyText"/>
        <w:jc w:val="center"/>
        <w:rPr>
          <w:b/>
          <w:sz w:val="28"/>
        </w:rPr>
      </w:pPr>
      <w:r>
        <w:rPr>
          <w:b/>
          <w:sz w:val="28"/>
        </w:rPr>
        <w:t>OM&amp;A savings in 2001</w:t>
      </w:r>
    </w:p>
    <w:p>
      <w:pPr>
        <w:pStyle w:val="BodyText"/>
        <w:rPr>
          <w:b/>
          <w:sz w:val="28"/>
        </w:rPr>
      </w:pPr>
      <w:r>
        <w:rPr>
          <w:b/>
          <w:sz w:val="28"/>
        </w:rPr>
      </w:r>
    </w:p>
    <w:p>
      <w:pPr>
        <w:pStyle w:val="BodyText"/>
        <w:rPr/>
      </w:pPr>
      <w:r>
        <w:rPr/>
        <w:t>Under the Merger Costs and Benefits Agreement (MCBA), Section 9(b)(iii), subject to certain provisions additional operating cost savings achieved in 2001 beyond those achieved in 2000 would be shared between TransCanada and the shippers on the Pipelines.</w:t>
      </w:r>
    </w:p>
    <w:p>
      <w:pPr>
        <w:pStyle w:val="Normal"/>
        <w:rPr>
          <w:sz w:val="24"/>
        </w:rPr>
      </w:pPr>
      <w:r>
        <w:rPr>
          <w:sz w:val="24"/>
        </w:rPr>
      </w:r>
    </w:p>
    <w:p>
      <w:pPr>
        <w:pStyle w:val="Normal"/>
        <w:rPr/>
      </w:pPr>
      <w:r>
        <w:rPr>
          <w:sz w:val="24"/>
        </w:rPr>
        <w:t xml:space="preserve">TransCanada’s current forecast of 2001 operating costs for </w:t>
      </w:r>
      <w:r>
        <w:rPr>
          <w:b/>
          <w:sz w:val="24"/>
        </w:rPr>
        <w:t>each</w:t>
      </w:r>
      <w:r>
        <w:rPr>
          <w:sz w:val="24"/>
        </w:rPr>
        <w:t xml:space="preserve"> of the three Pipelines individually and for </w:t>
      </w:r>
      <w:r>
        <w:rPr>
          <w:b/>
          <w:sz w:val="24"/>
        </w:rPr>
        <w:t>all</w:t>
      </w:r>
      <w:r>
        <w:rPr>
          <w:sz w:val="24"/>
        </w:rPr>
        <w:t xml:space="preserve"> three Pipelines in total is greater than its forecast 2000 costs.  While there are savings in 2001 related to the full-year effect of employee reductions in 2000</w:t>
      </w:r>
      <w:r>
        <w:rPr>
          <w:rStyle w:val="FootnoteCharacters"/>
          <w:rStyle w:val="FootnoteReference"/>
          <w:sz w:val="24"/>
        </w:rPr>
        <w:footnoteReference w:id="2"/>
      </w:r>
      <w:r>
        <w:rPr>
          <w:sz w:val="24"/>
        </w:rPr>
        <w:t xml:space="preserve">, these are more than offset by the impact of inflation on salaries, utilities and other third party costs.  Therefore, it is TransCanada’s position that no significant additional savings will be achieved in 2001 unless further employee reduction opportunities are pursued.  </w:t>
      </w:r>
    </w:p>
    <w:p>
      <w:pPr>
        <w:pStyle w:val="Normal"/>
        <w:rPr>
          <w:sz w:val="24"/>
        </w:rPr>
      </w:pPr>
      <w:r>
        <w:rPr>
          <w:sz w:val="24"/>
        </w:rPr>
      </w:r>
    </w:p>
    <w:p>
      <w:pPr>
        <w:pStyle w:val="Normal"/>
        <w:rPr>
          <w:sz w:val="24"/>
        </w:rPr>
      </w:pPr>
      <w:r>
        <w:rPr>
          <w:sz w:val="24"/>
        </w:rPr>
        <w:t>In addition, TransCanada has absorbed a significant portion of the severance costs related to these 2000 employee reductions (i.e., total Merger Costs are above the $100 mm cost limit allowed under the MCBA).</w:t>
      </w:r>
    </w:p>
    <w:p>
      <w:pPr>
        <w:pStyle w:val="Normal"/>
        <w:rPr>
          <w:sz w:val="24"/>
        </w:rPr>
      </w:pPr>
      <w:r>
        <w:rPr>
          <w:sz w:val="24"/>
        </w:rPr>
      </w:r>
    </w:p>
    <w:p>
      <w:pPr>
        <w:pStyle w:val="Normal"/>
        <w:rPr>
          <w:sz w:val="24"/>
        </w:rPr>
      </w:pPr>
      <w:r>
        <w:rPr>
          <w:sz w:val="24"/>
        </w:rPr>
        <w:t>TransCanada proposes, therefore, that for purposes of this Settlement, the amount calculated under Section 9(b)(iii) of the MCBA is deemed to be zero.  TransCanada believes that this will produce the same result that would be obtained if TransCanada does not pursue any further employee reductions in 2001.  It also avoids the additional complexity that would be added by having to separately track the impact on costs of additional employee reductions undertaken during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8"/>
        </w:rPr>
      </w:pPr>
      <w:r>
        <w:rPr>
          <w:b/>
          <w:sz w:val="28"/>
        </w:rPr>
        <w:t>Severance costs</w:t>
      </w:r>
    </w:p>
    <w:p>
      <w:pPr>
        <w:pStyle w:val="Normal"/>
        <w:rPr>
          <w:b/>
          <w:sz w:val="28"/>
        </w:rPr>
      </w:pPr>
      <w:r>
        <w:rPr>
          <w:b/>
          <w:sz w:val="28"/>
        </w:rPr>
      </w:r>
    </w:p>
    <w:p>
      <w:pPr>
        <w:pStyle w:val="BodyText"/>
        <w:rPr/>
      </w:pPr>
      <w:r>
        <w:rPr/>
        <w:t>Underlying the MCBA was a principle of matching costs incurred to achieve ongoing cost reductions with the realization of those reductions.  This principle is maintained in this Settlement with the amortization of severance costs over a three year period.</w:t>
      </w:r>
    </w:p>
    <w:p>
      <w:pPr>
        <w:pStyle w:val="BodyText"/>
        <w:rPr/>
      </w:pPr>
      <w:r>
        <w:rPr/>
      </w:r>
    </w:p>
    <w:p>
      <w:pPr>
        <w:pStyle w:val="BodyText"/>
        <w:rPr/>
      </w:pPr>
      <w:r>
        <w:rPr/>
        <w:t xml:space="preserve">Under TransCanada’s severance programs, there may be a lag between the time an employee is terminated and the time severance and other related costs are paid.  For example, an employee terminated in June of 2000 may choose to receive part of his severance payment in 2000 and part in 2001.  However, ongoing cost savings will be reflected starting in June of 2000.  </w:t>
      </w:r>
    </w:p>
    <w:p>
      <w:pPr>
        <w:pStyle w:val="BodyText"/>
        <w:rPr/>
      </w:pPr>
      <w:r>
        <w:rPr/>
      </w:r>
    </w:p>
    <w:p>
      <w:pPr>
        <w:pStyle w:val="BodyText"/>
        <w:rPr/>
      </w:pPr>
      <w:r>
        <w:rPr/>
        <w:t>In order to account for these differences and ensure proper matching of costs and benefits, TransCanada proposes the following.  Costs related to those employees whose “termination date”, i.e. the date on which employment is officially terminated, is on or before December 31, 2000, regardless of whether that employee has received severance and related payments by that date, will be included under the MCBA.  Costs related to employees whose “termination date” is after December 31, 2000 will be included under this Settlement.</w:t>
      </w:r>
    </w:p>
    <w:p>
      <w:pPr>
        <w:pStyle w:val="BodyText"/>
        <w:rPr/>
      </w:pPr>
      <w:r>
        <w:rPr/>
      </w:r>
    </w:p>
    <w:p>
      <w:pPr>
        <w:pStyle w:val="BodyText"/>
        <w:rPr/>
      </w:pPr>
      <w:r>
        <w:rPr/>
      </w:r>
    </w:p>
    <w:p>
      <w:pPr>
        <w:pStyle w:val="BodyText"/>
        <w:rPr/>
      </w:pPr>
      <w:r>
        <w:rPr/>
      </w:r>
    </w:p>
    <w:p>
      <w:pPr>
        <w:pStyle w:val="BodyText"/>
        <w:rPr/>
      </w:pPr>
      <w:r>
        <w:rPr/>
      </w:r>
    </w:p>
    <w:p>
      <w:pPr>
        <w:pStyle w:val="Normal"/>
        <w:rPr>
          <w:sz w:val="24"/>
        </w:rPr>
      </w:pPr>
      <w:r>
        <w:rPr>
          <w:sz w:val="24"/>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Total number of employee reductions under the MCBA are approximately 800, with about 300 occurring in 2000.  Of the 300, about 50% occurred in the first quarter of 2000.  The additional full-year impact of these reductions in 2001, assuming average annualized cost saving of $100,000 per employee, is approximately $12.5 million for the three Pipelines.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36"/>
      </w:rPr>
      <w:tab/>
    </w:r>
    <w:r>
      <w:rPr>
        <w:sz w:val="24"/>
      </w:rPr>
      <w:t>Privileged and Confidential – For Settlement Purposes Only</w:t>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2001-02-10T14:36:00Z</dcterms:created>
  <dc:creator>wendy_hanrahan</dc:creator>
  <dc:description/>
  <dc:language>en-CA</dc:language>
  <cp:lastModifiedBy>Jim_Bartlett</cp:lastModifiedBy>
  <dcterms:modified xsi:type="dcterms:W3CDTF">2001-02-12T19:48:00Z</dcterms:modified>
  <cp:revision>13</cp:revision>
  <dc:subject/>
  <dc:title>TransCanada Mainline</dc:title>
</cp:coreProperties>
</file>