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STATE OF ILLINOIS</w:t>
      </w:r>
    </w:p>
    <w:p>
      <w:pPr>
        <w:pStyle w:val="Normal"/>
        <w:tabs>
          <w:tab w:val="clear" w:pos="720"/>
          <w:tab w:val="left" w:pos="5040" w:leader="none"/>
          <w:tab w:val="left" w:pos="5580" w:leader="none"/>
        </w:tabs>
        <w:jc w:val="center"/>
        <w:rPr>
          <w:rFonts w:ascii="Arial" w:hAnsi="Arial" w:cs="Arial"/>
          <w:sz w:val="24"/>
        </w:rPr>
      </w:pPr>
      <w:r>
        <w:rPr>
          <w:rFonts w:cs="Arial" w:ascii="Arial" w:hAnsi="Arial"/>
          <w:sz w:val="24"/>
        </w:rPr>
      </w:r>
    </w:p>
    <w:p>
      <w:pPr>
        <w:pStyle w:val="Normal"/>
        <w:tabs>
          <w:tab w:val="clear" w:pos="720"/>
          <w:tab w:val="left" w:pos="5040" w:leader="none"/>
          <w:tab w:val="left" w:pos="5580" w:leader="none"/>
        </w:tabs>
        <w:jc w:val="center"/>
        <w:rPr>
          <w:rFonts w:ascii="Arial" w:hAnsi="Arial" w:cs="Arial"/>
          <w:sz w:val="24"/>
        </w:rPr>
      </w:pPr>
      <w:r>
        <w:rPr>
          <w:rFonts w:cs="Arial" w:ascii="Arial" w:hAnsi="Arial"/>
          <w:sz w:val="24"/>
        </w:rPr>
        <w:t>ILLINOIS COMMERCE COMMISSION</w:t>
      </w:r>
    </w:p>
    <w:p>
      <w:pPr>
        <w:pStyle w:val="Normal"/>
        <w:tabs>
          <w:tab w:val="clear" w:pos="720"/>
          <w:tab w:val="left" w:pos="5040" w:leader="none"/>
          <w:tab w:val="left" w:pos="5580" w:leader="none"/>
        </w:tabs>
        <w:jc w:val="center"/>
        <w:rPr>
          <w:rFonts w:ascii="Arial" w:hAnsi="Arial" w:cs="Arial"/>
          <w:sz w:val="24"/>
        </w:rPr>
      </w:pPr>
      <w:r>
        <w:rPr>
          <w:rFonts w:cs="Arial" w:ascii="Arial" w:hAnsi="Arial"/>
          <w:sz w:val="24"/>
        </w:rPr>
      </w:r>
    </w:p>
    <w:p>
      <w:pPr>
        <w:pStyle w:val="Normal"/>
        <w:tabs>
          <w:tab w:val="clear" w:pos="720"/>
          <w:tab w:val="left" w:pos="5040" w:leader="none"/>
          <w:tab w:val="left" w:pos="5580" w:leader="none"/>
        </w:tabs>
        <w:rPr>
          <w:rFonts w:ascii="Arial" w:hAnsi="Arial" w:cs="Arial"/>
          <w:sz w:val="24"/>
        </w:rPr>
      </w:pPr>
      <w:r>
        <w:rPr>
          <w:rFonts w:cs="Arial" w:ascii="Arial" w:hAnsi="Arial"/>
          <w:sz w:val="24"/>
        </w:rPr>
      </w:r>
    </w:p>
    <w:p>
      <w:pPr>
        <w:pStyle w:val="BodyText"/>
        <w:tabs>
          <w:tab w:val="clear" w:pos="1440"/>
          <w:tab w:val="clear" w:pos="2160"/>
          <w:tab w:val="clear" w:pos="2880"/>
          <w:tab w:val="clear" w:pos="3600"/>
          <w:tab w:val="clear" w:pos="4320"/>
          <w:tab w:val="left" w:pos="5040" w:leader="none"/>
          <w:tab w:val="left" w:pos="5580" w:leader="none"/>
        </w:tabs>
        <w:rPr/>
      </w:pPr>
      <w:r>
        <w:rPr/>
        <w:t>The Peoples Gas Light and Coke Company,</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ab/>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Application for authority under Section 7-101</w:t>
        <w:tab/>
        <w:t xml:space="preserve">) </w:t>
        <w:tab/>
        <w:t xml:space="preserve">Docket No. </w:t>
      </w:r>
      <w:r>
        <w:rPr>
          <w:rFonts w:cs="Arial" w:ascii="Arial" w:hAnsi="Arial"/>
          <w:sz w:val="24"/>
          <w:u w:val="single"/>
        </w:rPr>
        <w:t>              </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of the Illinois Public Utilities Act to enter into</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a Master Natural Gas Contact with</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t>enovate, L.L.C.</w:t>
        <w:tab/>
        <w:t>)</w:t>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r>
    </w:p>
    <w:p>
      <w:pPr>
        <w:pStyle w:val="Normal"/>
        <w:tabs>
          <w:tab w:val="clear" w:pos="720"/>
          <w:tab w:val="left" w:pos="1440" w:leader="none"/>
          <w:tab w:val="left" w:pos="5040" w:leader="none"/>
          <w:tab w:val="left" w:pos="5580" w:leader="none"/>
        </w:tabs>
        <w:rPr>
          <w:rFonts w:ascii="Arial" w:hAnsi="Arial" w:cs="Arial"/>
          <w:sz w:val="24"/>
        </w:rPr>
      </w:pPr>
      <w:r>
        <w:rPr>
          <w:rFonts w:cs="Arial" w:ascii="Arial" w:hAnsi="Arial"/>
          <w:sz w:val="24"/>
        </w:rPr>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jc w:val="center"/>
        <w:rPr>
          <w:b/>
          <w:u w:val="single"/>
        </w:rPr>
      </w:pPr>
      <w:r>
        <w:rPr>
          <w:b/>
          <w:u w:val="single"/>
        </w:rPr>
        <w:t>PETITION</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To the Illinois Commerce Commission:</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ab/>
        <w:t>The Peoples Gas Light and Coke Company (“Petitioner” or “Peoples” or “Company”) hereby requests that the Illinois Commerce Commission enter an order approving a Master Natural Gas Contract between Peoples and enovate, L.L.C. (“enovate”).  In support of this Petition, Peoples respectfully represents the following:</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Petitioner is an Illinois corporation with its general office at 130 East Randolph, Chicago, Illinois 60601.  It is engaged principally in the business of distributing and selling gas to approximately 840,000 customers, in the City of Chicago and is a public utility subject to the jurisdiction of this Commission under the Illinois Public Utilities Act (the “Act”).</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 xml:space="preserve">All of the outstanding common stock of Peoples  is owned by Peoples Energy Corporation, a corporation organized and existing under the laws of the State of Illinois, having its principal office at 130 East Randolph, Chicago, Illinois, 60601.  </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enovate is a Delaware limited liability company, whose members are Peoples MW, L.L.C. and Enron MW, L.L.C.  Peoples MW, L.L.C. is a Delaware limited liability company, which is a wholly owned second-tiered subsidiary of Peoples Energy Corporation.  enovate is, therefore, an affiliated interest of Peoples pursuant to Section 7-101 of the Act.</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Peoples and enovate have entered into a Master Natural Gas Contract dated July 12, 2000 (the “Master Contract”), a copy of which is attached hereto as Petitioner’s Exhibit No. 1 and by reference made a part hereof.  (Note that the Master Contract has been labeled “confidential” and is being filed under seal on that basis.)  The Master Contract will govern the generally applicable terms of firm and/or interruptible purchase and sale transactions between Peoples and enovate, which transactions will optimize the use of the Company’s gas supply and capacity assets.</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5.  The term of the Master Contract is one year from the date of Commission approval and from year to year thereafter subject to the right of either party to terminate the Master Contract on 30 days’ prior written notice prior to the end of the initial term or of any year-to-year extension of such initial term.</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Each transaction under the Master Contract will be memorialized in a Transaction Confirmation which sets forth the commercial terms and conditions of that transaction.  Exhibit A to the Master Contract sets forth the form of a Transaction Confirmation.</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The Master Contract will optimize the Company’s gas supply and capacity assets by allowing a variety of wide-ranging transactions to take place which capitalize on market opportunities.  Through these transactions, the Company will be able to more fully utilize its supply and capacity assets.  A description of the types of transactions contemplated by the Master Contract is set forth in the Direct Testimony of David Wear, attached to this Petition as Petitioner’s Exhibit 2.</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Peoples contemplates that numerous transactions of the type contemplated by the Master Contract will be entered into by Peoples and enovate.  Such transactions need to be executed quickly.  The natural gas market has become one in which it is not uncommon for an opportunity to present itself and then be gone literally minutes later.  A requirement that each such transaction receive prior Commission approval would effectively eliminate the ability of Peoples to enter into any transactions with enovate.  Peoples currently enters into transactions of the sort contemplated by the Master Contract with other, non-affiliated entities that are involved in operations similar to enovate.  Such transactions with non-affiliates do not require prior Commission approval.  However, such transactions are subject to Commission review in Gas Charge reconciliation proceedings, as would be transactions between Peoples and enovate under the Master Contract.  In fact, Peoples has entered into master agreements similar to the Master Contract with such other, non-affiliated entities. Adding another entity, enovate, to the companies that Peoples is able to contract with can only help to optimize the use of Peoples’ assets.</w:t>
      </w:r>
    </w:p>
    <w:p>
      <w:pPr>
        <w:pStyle w:val="BodyText"/>
        <w:numPr>
          <w:ilvl w:val="0"/>
          <w:numId w:val="2"/>
        </w:numPr>
        <w:tabs>
          <w:tab w:val="left" w:pos="1440" w:leader="none"/>
          <w:tab w:val="left" w:pos="2160" w:leader="none"/>
          <w:tab w:val="left" w:pos="2880" w:leader="none"/>
          <w:tab w:val="left" w:pos="3600" w:leader="none"/>
          <w:tab w:val="left" w:pos="4320" w:leader="none"/>
          <w:tab w:val="left" w:pos="4824" w:leader="none"/>
        </w:tabs>
        <w:spacing w:lineRule="auto" w:line="480"/>
        <w:ind w:firstLine="1440" w:start="0" w:end="0"/>
        <w:rPr/>
      </w:pPr>
      <w:r>
        <w:rPr/>
        <w:t xml:space="preserve">All transactions with enovate would be at arms length.  Peoples would keep records of all transactions for regulatory review.  </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b/>
        </w:rPr>
      </w:pPr>
      <w:r>
        <w:rPr/>
        <w:tab/>
        <w:tab/>
        <w:t>10.  The Master Contract will not interfere with Peoples’ operation of its public utility business or with the performance of its duties to the public.  Moreover, the Master Contract will allow Peoples to optimize its gas supply and capacity assets. Transactions which optimize Company assets will result in a positive revenue stream that will either  be automatically flowed to customers through the operation of the Company’s Rider 2, Gas Charge, or will operate to recover fixed costs.</w:t>
      </w:r>
    </w:p>
    <w:p>
      <w:pPr>
        <w:pStyle w:val="BodyText"/>
        <w:tabs>
          <w:tab w:val="left" w:pos="720" w:leader="none"/>
          <w:tab w:val="left" w:pos="1440" w:leader="none"/>
          <w:tab w:val="left" w:pos="2160" w:leader="none"/>
          <w:tab w:val="left" w:pos="2880" w:leader="none"/>
          <w:tab w:val="left" w:pos="3600" w:leader="none"/>
          <w:tab w:val="left" w:pos="4320" w:leader="none"/>
          <w:tab w:val="left" w:pos="4824" w:leader="none"/>
        </w:tabs>
        <w:spacing w:lineRule="auto" w:line="480"/>
        <w:ind w:hanging="720" w:start="720" w:end="0"/>
        <w:rPr>
          <w:b/>
        </w:rPr>
      </w:pPr>
      <w:r>
        <w:rPr>
          <w:b/>
        </w:rPr>
      </w:r>
    </w:p>
    <w:p>
      <w:pPr>
        <w:sectPr>
          <w:headerReference w:type="default" r:id="rId2"/>
          <w:headerReference w:type="first" r:id="rId3"/>
          <w:type w:val="nextPage"/>
          <w:pgSz w:w="12240" w:h="15840"/>
          <w:pgMar w:left="1440" w:right="1440" w:gutter="0" w:header="634" w:top="1440" w:footer="0" w:bottom="1440"/>
          <w:pgNumType w:fmt="decimal"/>
          <w:formProt w:val="false"/>
          <w:titlePg/>
          <w:textDirection w:val="lrTb"/>
          <w:docGrid w:type="default" w:linePitch="360" w:charSpace="0"/>
        </w:sectPr>
        <w:pStyle w:val="BodyText"/>
        <w:tabs>
          <w:tab w:val="clear" w:pos="2160"/>
          <w:tab w:val="left" w:pos="1440" w:leader="none"/>
          <w:tab w:val="left" w:pos="2880" w:leader="none"/>
          <w:tab w:val="left" w:pos="3600" w:leader="none"/>
          <w:tab w:val="left" w:pos="4320" w:leader="none"/>
          <w:tab w:val="left" w:pos="4824" w:leader="none"/>
        </w:tabs>
        <w:spacing w:lineRule="auto" w:line="480"/>
        <w:rPr/>
      </w:pPr>
      <w:r>
        <w:rPr/>
        <w:tab/>
        <w:t>11.The Master Contract is in the best interests of Peoples and the customers it serves.  Accordingly, this Petition should be reasonably granted, and the public will be convenienced thereby.</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ab/>
        <w:t>WHEREFORE, Petitioner respectfully requests that the Commission enter an Order under Section 7-101 of the Act consenting to the Master  Natural Gas Contract between Peoples and enovate.</w:t>
      </w:r>
    </w:p>
    <w:p>
      <w:pPr>
        <w:pStyle w:val="BodyText"/>
        <w:tabs>
          <w:tab w:val="left" w:pos="1440" w:leader="none"/>
          <w:tab w:val="left" w:pos="2160" w:leader="none"/>
          <w:tab w:val="left" w:pos="2880" w:leader="none"/>
          <w:tab w:val="left" w:pos="3600" w:leader="none"/>
          <w:tab w:val="left" w:pos="4320" w:leader="none"/>
          <w:tab w:val="left" w:pos="4824" w:leader="none"/>
        </w:tabs>
        <w:spacing w:lineRule="auto" w:line="480"/>
        <w:rPr/>
      </w:pPr>
      <w:r>
        <w:rPr/>
        <w:tab/>
        <w:tab/>
        <w:tab/>
        <w:t xml:space="preserve">Dated this </w:t>
      </w:r>
      <w:r>
        <w:rPr>
          <w:u w:val="single"/>
        </w:rPr>
        <w:t>          </w:t>
      </w:r>
      <w:r>
        <w:rPr/>
        <w:t xml:space="preserve"> day of November, 2000</w:t>
      </w:r>
    </w:p>
    <w:p>
      <w:pPr>
        <w:pStyle w:val="BodyText"/>
        <w:ind w:start="4320" w:end="0"/>
        <w:rPr/>
      </w:pPr>
      <w:r>
        <w:rPr/>
      </w:r>
    </w:p>
    <w:p>
      <w:pPr>
        <w:pStyle w:val="BodyText"/>
        <w:spacing w:lineRule="atLeast" w:line="240"/>
        <w:ind w:start="4320" w:end="0"/>
        <w:rPr/>
      </w:pPr>
      <w:r>
        <w:rPr/>
        <w:t>Respectfully submitted,</w:t>
      </w:r>
    </w:p>
    <w:p>
      <w:pPr>
        <w:pStyle w:val="BodyText"/>
        <w:spacing w:lineRule="atLeast" w:line="240"/>
        <w:ind w:start="5040" w:end="0"/>
        <w:rPr/>
      </w:pPr>
      <w:r>
        <w:rPr/>
      </w:r>
    </w:p>
    <w:p>
      <w:pPr>
        <w:pStyle w:val="BodyText"/>
        <w:spacing w:lineRule="atLeast" w:line="240"/>
        <w:ind w:start="4320" w:end="0"/>
        <w:rPr/>
      </w:pPr>
      <w:r>
        <w:rPr/>
        <w:t>THE PEOPLES GAS LIGHT</w:t>
      </w:r>
    </w:p>
    <w:p>
      <w:pPr>
        <w:pStyle w:val="BodyText"/>
        <w:spacing w:lineRule="atLeast" w:line="240"/>
        <w:ind w:start="4320" w:end="0"/>
        <w:rPr/>
      </w:pPr>
      <w:r>
        <w:rPr>
          <w:rFonts w:eastAsia="Arial"/>
        </w:rPr>
        <w:t xml:space="preserve">  </w:t>
      </w:r>
      <w:r>
        <w:rPr/>
        <w:t>AND COKE COMPANY</w:t>
      </w:r>
    </w:p>
    <w:p>
      <w:pPr>
        <w:pStyle w:val="BodyText"/>
        <w:spacing w:lineRule="atLeast" w:line="240"/>
        <w:rPr/>
      </w:pPr>
      <w:r>
        <w:rPr/>
      </w:r>
    </w:p>
    <w:p>
      <w:pPr>
        <w:pStyle w:val="BodyText"/>
        <w:spacing w:lineRule="atLeast" w:line="240"/>
        <w:rPr/>
      </w:pPr>
      <w:r>
        <w:rPr/>
      </w:r>
    </w:p>
    <w:p>
      <w:pPr>
        <w:pStyle w:val="BodyText"/>
        <w:spacing w:lineRule="atLeast" w:line="240"/>
        <w:ind w:start="5040" w:end="0"/>
        <w:rPr/>
      </w:pPr>
      <w:r>
        <w:rPr/>
      </w:r>
    </w:p>
    <w:p>
      <w:pPr>
        <w:pStyle w:val="BodyText"/>
        <w:spacing w:lineRule="atLeast" w:line="240"/>
        <w:ind w:start="4320" w:end="0"/>
        <w:rPr/>
      </w:pPr>
      <w:r>
        <w:rPr/>
        <w:t>By:</w:t>
      </w:r>
      <w:r>
        <w:rPr>
          <w:u w:val="single"/>
        </w:rPr>
        <w:t xml:space="preserve">                                                                   </w:t>
      </w:r>
    </w:p>
    <w:p>
      <w:pPr>
        <w:pStyle w:val="BodyText"/>
        <w:spacing w:lineRule="atLeast" w:line="240"/>
        <w:ind w:start="4770" w:end="630"/>
        <w:jc w:val="center"/>
        <w:rPr/>
      </w:pPr>
      <w:r>
        <w:rPr/>
        <w:t>Katherine A. Donofrio</w:t>
      </w:r>
    </w:p>
    <w:p>
      <w:pPr>
        <w:pStyle w:val="BodyText"/>
        <w:spacing w:lineRule="atLeast" w:line="240"/>
        <w:ind w:start="4770" w:end="630"/>
        <w:jc w:val="center"/>
        <w:rPr/>
      </w:pPr>
      <w:r>
        <w:rPr/>
        <w:t>Vice President</w:t>
      </w:r>
    </w:p>
    <w:p>
      <w:pPr>
        <w:pStyle w:val="BodyText"/>
        <w:spacing w:lineRule="atLeast" w:line="240"/>
        <w:ind w:start="4770" w:end="630"/>
        <w:jc w:val="center"/>
        <w:rPr/>
      </w:pPr>
      <w:r>
        <w:rPr/>
      </w:r>
    </w:p>
    <w:p>
      <w:pPr>
        <w:pStyle w:val="BodyText"/>
        <w:spacing w:lineRule="atLeast" w:line="240"/>
        <w:ind w:start="4770" w:end="630"/>
        <w:jc w:val="center"/>
        <w:rPr/>
      </w:pPr>
      <w:r>
        <w:rPr/>
      </w:r>
    </w:p>
    <w:p>
      <w:pPr>
        <w:pStyle w:val="BodyText"/>
        <w:spacing w:lineRule="atLeast" w:line="240"/>
        <w:ind w:start="4770" w:end="630"/>
        <w:jc w:val="center"/>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James Hinchliff</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Gerard T. Fox</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Mary Klyasheff</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Attorneys for</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The Peoples Gas Light</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Fonts w:eastAsia="Arial"/>
        </w:rPr>
        <w:t xml:space="preserve">  </w:t>
      </w:r>
      <w:r>
        <w:rPr/>
        <w:t>and Coke Company</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23rd Floor</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130 East Randolph Drive</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Chicago, Illinois  60601</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(312) 240-4341</w:t>
      </w:r>
    </w:p>
    <w:p>
      <w:pPr>
        <w:pStyle w:val="Normal"/>
        <w:rPr>
          <w:rFonts w:ascii="Arial" w:hAnsi="Arial" w:cs="Arial"/>
          <w:sz w:val="24"/>
        </w:rPr>
      </w:pPr>
      <w:r>
        <w:rPr>
          <w:rFonts w:cs="Arial" w:ascii="Arial" w:hAnsi="Arial"/>
          <w:sz w:val="24"/>
        </w:rPr>
        <w:t>facsimile:  (312) 240-4486</w:t>
      </w:r>
    </w:p>
    <w:p>
      <w:pPr>
        <w:pStyle w:val="Normal"/>
        <w:rPr>
          <w:rFonts w:ascii="Arial" w:hAnsi="Arial" w:cs="Arial"/>
          <w:sz w:val="24"/>
        </w:rPr>
      </w:pPr>
      <w:r>
        <w:rPr>
          <w:rFonts w:cs="Arial" w:ascii="Arial" w:hAnsi="Arial"/>
          <w:sz w:val="24"/>
        </w:rPr>
        <w:t xml:space="preserve">e-mail: </w:t>
      </w:r>
      <w:hyperlink r:id="rId4">
        <w:r>
          <w:rPr>
            <w:rStyle w:val="Hyperlink"/>
            <w:rFonts w:cs="Arial" w:ascii="Arial" w:hAnsi="Arial"/>
            <w:color w:val="000000"/>
            <w:sz w:val="24"/>
            <w:u w:val="none"/>
          </w:rPr>
          <w:t>gtfox@pecorp.com</w:t>
        </w:r>
      </w:hyperlink>
    </w:p>
    <w:p>
      <w:pPr>
        <w:sectPr>
          <w:headerReference w:type="default" r:id="rId5"/>
          <w:headerReference w:type="first" r:id="rId6"/>
          <w:type w:val="nextPage"/>
          <w:pgSz w:w="12240" w:h="15840"/>
          <w:pgMar w:left="1440" w:right="1440" w:gutter="0" w:header="634" w:top="1440" w:footer="0" w:bottom="1440"/>
          <w:pgNumType w:fmt="decimal"/>
          <w:formProt w:val="false"/>
          <w:titlePg/>
          <w:textDirection w:val="lrTb"/>
          <w:docGrid w:type="default" w:linePitch="360" w:charSpace="0"/>
        </w:sectPr>
        <w:pStyle w:val="Normal"/>
        <w:rPr>
          <w:rFonts w:ascii="Arial" w:hAnsi="Arial" w:cs="Arial"/>
          <w:sz w:val="24"/>
        </w:rPr>
      </w:pPr>
      <w:r>
        <w:rPr>
          <w:rFonts w:cs="Arial" w:ascii="Arial" w:hAnsi="Arial"/>
          <w:sz w:val="24"/>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sz w:val="24"/>
          <w:lang w:eastAsia="en-US"/>
        </w:rPr>
      </w:pPr>
      <w:r>
        <w:rPr>
          <w:sz w:val="24"/>
          <w:lang w:eastAsia="en-US"/>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t>STATE OF ILLINOIS</w:t>
        <w:tab/>
        <w:t>)</w:t>
      </w:r>
    </w:p>
    <w:p>
      <w:pPr>
        <w:pStyle w:val="BodyText"/>
        <w:tabs>
          <w:tab w:val="clear" w:pos="2880"/>
          <w:tab w:val="clear" w:pos="3600"/>
          <w:tab w:val="decimal" w:pos="1296" w:leader="none"/>
          <w:tab w:val="left" w:pos="1440" w:leader="none"/>
          <w:tab w:val="left" w:pos="2160" w:leader="none"/>
          <w:tab w:val="left" w:pos="2610" w:leader="none"/>
          <w:tab w:val="left" w:pos="2970" w:leader="none"/>
          <w:tab w:val="left" w:pos="4320" w:leader="none"/>
          <w:tab w:val="decimal" w:pos="4896" w:leader="none"/>
        </w:tabs>
        <w:rPr>
          <w:lang w:eastAsia="en-US"/>
        </w:rPr>
      </w:pPr>
      <w:r>
        <w:rPr>
          <w:lang w:eastAsia="en-US"/>
        </w:rPr>
        <w:tab/>
        <w:tab/>
        <w:tab/>
        <w:tab/>
        <w:t>)</w:t>
        <w:tab/>
        <w:t>SS</w:t>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t>COUNTY OF COOK</w:t>
        <w:tab/>
        <w:t>)</w:t>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r>
    </w:p>
    <w:p>
      <w:pPr>
        <w:pStyle w:val="BodyText"/>
        <w:tabs>
          <w:tab w:val="clear" w:pos="2880"/>
          <w:tab w:val="decimal" w:pos="1296" w:leader="none"/>
          <w:tab w:val="left" w:pos="1440" w:leader="none"/>
          <w:tab w:val="left" w:pos="2160" w:leader="none"/>
          <w:tab w:val="left" w:pos="2610" w:leader="none"/>
          <w:tab w:val="left" w:pos="3600" w:leader="none"/>
          <w:tab w:val="left" w:pos="4320" w:leader="none"/>
          <w:tab w:val="decimal" w:pos="4896" w:leader="none"/>
        </w:tabs>
        <w:rPr>
          <w:lang w:eastAsia="en-US"/>
        </w:rPr>
      </w:pPr>
      <w:r>
        <w:rPr>
          <w:lang w:eastAsia="en-US"/>
        </w:rPr>
      </w:r>
    </w:p>
    <w:p>
      <w:pPr>
        <w:pStyle w:val="Normal"/>
        <w:tabs>
          <w:tab w:val="clear" w:pos="720"/>
          <w:tab w:val="left" w:pos="1440" w:leader="none"/>
          <w:tab w:val="left" w:pos="2160" w:leader="none"/>
          <w:tab w:val="left" w:pos="4320" w:leader="none"/>
        </w:tabs>
        <w:spacing w:lineRule="auto" w:line="480"/>
        <w:rPr/>
      </w:pPr>
      <w:r>
        <w:rPr>
          <w:sz w:val="24"/>
        </w:rPr>
        <w:tab/>
      </w:r>
      <w:r>
        <w:rPr>
          <w:rFonts w:cs="Arial" w:ascii="Arial" w:hAnsi="Arial"/>
          <w:sz w:val="24"/>
        </w:rPr>
        <w:t>Katherine A. Donofrio, being first duly sworn, on oath deposes and says that she is a Vice President of The Peoples Gas Light and Coke Company, the above-named Petitioner; that she has read the foregoing Petition by her subscribed and knows the contents thereof; and that the matters therein stated are true to the best of her knowledge and belief.</w:t>
      </w:r>
    </w:p>
    <w:p>
      <w:pPr>
        <w:pStyle w:val="BodyText"/>
        <w:tabs>
          <w:tab w:val="clear" w:pos="2880"/>
          <w:tab w:val="left" w:pos="1440" w:leader="none"/>
          <w:tab w:val="left" w:pos="2160" w:leader="none"/>
          <w:tab w:val="left" w:pos="2610" w:leader="none"/>
          <w:tab w:val="left" w:pos="3600" w:leader="none"/>
          <w:tab w:val="left" w:pos="4320" w:leader="none"/>
          <w:tab w:val="decimal" w:pos="4896" w:leader="none"/>
        </w:tabs>
        <w:rPr>
          <w:rFonts w:ascii="Arial" w:hAnsi="Arial" w:cs="Arial"/>
          <w:sz w:val="24"/>
          <w:lang w:eastAsia="en-US"/>
        </w:rPr>
      </w:pPr>
      <w:r>
        <w:rPr>
          <w:rFonts w:cs="Arial"/>
          <w:sz w:val="24"/>
          <w:lang w:eastAsia="en-US"/>
        </w:rPr>
      </w:r>
    </w:p>
    <w:p>
      <w:pPr>
        <w:pStyle w:val="BodyText"/>
        <w:spacing w:lineRule="atLeast" w:line="240"/>
        <w:ind w:start="4320" w:end="0"/>
        <w:rPr/>
      </w:pPr>
      <w:r>
        <w:rPr/>
        <w:t>THE PEOPLES GAS LIGHT</w:t>
      </w:r>
    </w:p>
    <w:p>
      <w:pPr>
        <w:pStyle w:val="BodyText"/>
        <w:spacing w:lineRule="atLeast" w:line="240"/>
        <w:ind w:start="4320" w:end="0"/>
        <w:rPr/>
      </w:pPr>
      <w:r>
        <w:rPr>
          <w:rFonts w:eastAsia="Arial"/>
        </w:rPr>
        <w:t xml:space="preserve">  </w:t>
      </w:r>
      <w:r>
        <w:rPr/>
        <w:t>AND COKE COMPANY</w:t>
      </w:r>
    </w:p>
    <w:p>
      <w:pPr>
        <w:pStyle w:val="BodyText"/>
        <w:spacing w:lineRule="atLeast" w:line="240"/>
        <w:rPr/>
      </w:pPr>
      <w:r>
        <w:rPr/>
      </w:r>
    </w:p>
    <w:p>
      <w:pPr>
        <w:pStyle w:val="BodyText"/>
        <w:spacing w:lineRule="atLeast" w:line="240"/>
        <w:ind w:start="5040" w:end="0"/>
        <w:rPr/>
      </w:pPr>
      <w:r>
        <w:rPr/>
      </w:r>
    </w:p>
    <w:p>
      <w:pPr>
        <w:pStyle w:val="BodyText"/>
        <w:spacing w:lineRule="atLeast" w:line="240"/>
        <w:ind w:start="5040" w:end="0"/>
        <w:rPr/>
      </w:pPr>
      <w:r>
        <w:rPr/>
      </w:r>
    </w:p>
    <w:p>
      <w:pPr>
        <w:pStyle w:val="BodyText"/>
        <w:spacing w:lineRule="atLeast" w:line="240"/>
        <w:ind w:start="4320" w:end="0"/>
        <w:rPr/>
      </w:pPr>
      <w:r>
        <w:rPr/>
        <w:t>By:</w:t>
      </w:r>
      <w:r>
        <w:rPr>
          <w:u w:val="single"/>
        </w:rPr>
        <w:t xml:space="preserve">                                                                   </w:t>
      </w:r>
    </w:p>
    <w:p>
      <w:pPr>
        <w:pStyle w:val="BodyText"/>
        <w:spacing w:lineRule="atLeast" w:line="240"/>
        <w:ind w:start="4770" w:end="630"/>
        <w:jc w:val="center"/>
        <w:rPr/>
      </w:pPr>
      <w:r>
        <w:rPr/>
        <w:t>Katherine A. Donofrio</w:t>
      </w:r>
    </w:p>
    <w:p>
      <w:pPr>
        <w:pStyle w:val="BodyText"/>
        <w:spacing w:lineRule="atLeast" w:line="240"/>
        <w:ind w:start="4770" w:end="630"/>
        <w:jc w:val="center"/>
        <w:rPr/>
      </w:pPr>
      <w:r>
        <w:rPr/>
        <w:t>Vice President</w:t>
      </w:r>
    </w:p>
    <w:p>
      <w:pPr>
        <w:pStyle w:val="BodyText"/>
        <w:spacing w:lineRule="atLeast" w:line="240"/>
        <w:ind w:start="4770" w:end="180"/>
        <w:jc w:val="center"/>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SUBSCRIBED and SWORN TO</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 xml:space="preserve">Before me this </w:t>
      </w:r>
      <w:r>
        <w:rPr>
          <w:u w:val="single"/>
        </w:rPr>
        <w:t>          </w:t>
      </w:r>
      <w:r>
        <w:rPr/>
        <w:t xml:space="preserve"> day of</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t>November, 2000</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u w:val="single"/>
        </w:rPr>
      </w:pPr>
      <w:r>
        <w:rPr>
          <w:u w:val="single"/>
        </w:rPr>
        <w:t>                                 </w:t>
      </w:r>
      <w:r>
        <w:rPr>
          <w:rFonts w:eastAsia="Arial"/>
          <w:u w:val="single"/>
        </w:rPr>
        <w:t xml:space="preserve">             </w:t>
      </w:r>
      <w:r>
        <w:rPr>
          <w:u w:val="single"/>
        </w:rPr>
        <w:t>     </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jc w:val="center"/>
        <w:rPr/>
      </w:pPr>
      <w:r>
        <w:rPr/>
        <w:t>Notary Public</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pPr>
      <w:r>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pPr>
      <w:r>
        <w:rPr/>
        <w:t>My Commission Expires:</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lang w:eastAsia="en-US"/>
        </w:rPr>
      </w:pPr>
      <w:r>
        <w:rPr>
          <w:lang w:eastAsia="en-US"/>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lang w:eastAsia="en-US"/>
        </w:rPr>
      </w:pPr>
      <w:r>
        <w:rPr>
          <w:lang w:eastAsia="en-US"/>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u w:val="single"/>
        </w:rPr>
      </w:pPr>
      <w:r>
        <w:rPr>
          <w:u w:val="single"/>
        </w:rPr>
        <w:t>                                 </w:t>
      </w:r>
      <w:r>
        <w:rPr>
          <w:rFonts w:eastAsia="Arial"/>
          <w:u w:val="single"/>
        </w:rPr>
        <w:t xml:space="preserve">             </w:t>
      </w:r>
      <w:r>
        <w:rPr>
          <w:u w:val="single"/>
        </w:rPr>
        <w:t>     </w:t>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5940"/>
        <w:rPr>
          <w:u w:val="single"/>
        </w:rPr>
      </w:pPr>
      <w:r>
        <w:rPr>
          <w:u w:val="single"/>
        </w:rPr>
      </w:r>
    </w:p>
    <w:p>
      <w:pPr>
        <w:pStyle w:val="BodyText"/>
        <w:tabs>
          <w:tab w:val="left" w:pos="900" w:leader="none"/>
          <w:tab w:val="left" w:pos="1440" w:leader="none"/>
          <w:tab w:val="left" w:pos="2160" w:leader="none"/>
          <w:tab w:val="left" w:pos="2880" w:leader="none"/>
          <w:tab w:val="left" w:pos="3600" w:leader="none"/>
          <w:tab w:val="left" w:pos="4320" w:leader="none"/>
        </w:tabs>
        <w:spacing w:lineRule="atLeast" w:line="240"/>
        <w:ind w:end="9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/mnt/main-storage/datasets/enron-docs/doc/Docket_00_0000_PGL_Petition_with_MEH__Buy_sell_-95a308b56f9389d4f38294996a74be71e2adcc03c1cbaaab7f58e7dc244a94d3.doc</w:t>
      </w:r>
      <w:r>
        <w:rPr>
          <w:sz w:val="12"/>
          <w:lang w:eastAsia="en-US"/>
        </w:rPr>
        <w:fldChar w:fldCharType="end"/>
      </w:r>
    </w:p>
    <w:sectPr>
      <w:headerReference w:type="default" r:id="rId7"/>
      <w:headerReference w:type="first" r:id="rId8"/>
      <w:type w:val="nextPage"/>
      <w:pgSz w:w="12240" w:h="15840"/>
      <w:pgMar w:left="1440" w:right="1440" w:gutter="0" w:header="634"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4"/>
      </w:rPr>
    </w:pPr>
    <w:r>
      <w:rPr>
        <w:rFonts w:cs="Arial" w:ascii="Arial" w:hAnsi="Arial"/>
        <w:sz w:val="24"/>
      </w:rPr>
    </w:r>
  </w:p>
  <w:p>
    <w:pPr>
      <w:pStyle w:val="Header"/>
      <w:rPr>
        <w:rFonts w:ascii="Arial" w:hAnsi="Arial" w:cs="Arial"/>
        <w:sz w:val="24"/>
      </w:rPr>
    </w:pPr>
    <w:r>
      <w:rPr>
        <w:rFonts w:cs="Arial" w:ascii="Arial" w:hAnsi="Arial"/>
        <w:sz w:val="24"/>
      </w:rPr>
    </w:r>
  </w:p>
  <w:p>
    <w:pPr>
      <w:pStyle w:val="Header"/>
      <w:jc w:val="cent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w:t>
    </w:r>
    <w:r>
      <w:rPr>
        <w:rStyle w:val="PageNumber"/>
        <w:sz w:val="24"/>
        <w:rFonts w:cs="Arial" w:ascii="Arial" w:hAnsi="Arial"/>
      </w:rPr>
      <w:fldChar w:fldCharType="end"/>
    </w:r>
  </w:p>
  <w:p>
    <w:pPr>
      <w:pStyle w:val="Header"/>
      <w:jc w:val="center"/>
      <w:rPr>
        <w:rStyle w:val="PageNumber"/>
        <w:rFonts w:ascii="Arial" w:hAnsi="Arial" w:cs="Arial"/>
        <w:sz w:val="24"/>
      </w:rPr>
    </w:pPr>
    <w:r>
      <w:rPr/>
    </w:r>
  </w:p>
  <w:p>
    <w:pPr>
      <w:pStyle w:val="Header"/>
      <w:rPr>
        <w:rFonts w:ascii="Arial" w:hAnsi="Arial" w:cs="Arial"/>
        <w:sz w:val="24"/>
      </w:rPr>
    </w:pPr>
    <w:r>
      <w:rPr>
        <w:rFonts w:cs="Arial" w:ascii="Arial" w:hAnsi="Arial"/>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4"/>
      </w:rPr>
    </w:pPr>
    <w:r>
      <w:rPr>
        <w:rFonts w:cs="Arial" w:ascii="Arial" w:hAnsi="Arial"/>
        <w:sz w:val="24"/>
      </w:rPr>
    </w:r>
  </w:p>
  <w:p>
    <w:pPr>
      <w:pStyle w:val="Header"/>
      <w:rPr>
        <w:rFonts w:ascii="Arial" w:hAnsi="Arial" w:cs="Arial"/>
        <w:sz w:val="24"/>
      </w:rPr>
    </w:pPr>
    <w:r>
      <w:rPr>
        <w:rFonts w:cs="Arial" w:ascii="Arial" w:hAnsi="Arial"/>
        <w:sz w:val="24"/>
      </w:rPr>
    </w:r>
  </w:p>
  <w:p>
    <w:pPr>
      <w:pStyle w:val="Header"/>
      <w:jc w:val="cent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5</w:t>
    </w:r>
    <w:r>
      <w:rPr>
        <w:rStyle w:val="PageNumber"/>
        <w:sz w:val="24"/>
        <w:rFonts w:cs="Arial" w:ascii="Arial" w:hAnsi="Arial"/>
      </w:rPr>
      <w:fldChar w:fldCharType="end"/>
    </w:r>
  </w:p>
  <w:p>
    <w:pPr>
      <w:pStyle w:val="Header"/>
      <w:jc w:val="center"/>
      <w:rPr>
        <w:rStyle w:val="PageNumber"/>
        <w:rFonts w:ascii="Arial" w:hAnsi="Arial" w:cs="Arial"/>
        <w:sz w:val="24"/>
      </w:rPr>
    </w:pPr>
    <w:r>
      <w:rPr/>
    </w:r>
  </w:p>
  <w:p>
    <w:pPr>
      <w:pStyle w:val="Header"/>
      <w:rPr>
        <w:rFonts w:ascii="Arial" w:hAnsi="Arial" w:cs="Arial"/>
        <w:sz w:val="24"/>
      </w:rPr>
    </w:pPr>
    <w:r>
      <w:rPr>
        <w:rFonts w:cs="Arial" w:ascii="Arial" w:hAnsi="Arial"/>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jc w:val="center"/>
      <w:outlineLvl w:val="0"/>
    </w:pPr>
    <w:rPr>
      <w:rFonts w:ascii="Arial" w:hAnsi="Arial" w:cs="Arial"/>
      <w:color w:val="000000"/>
      <w:sz w:val="24"/>
      <w:u w:val="single"/>
      <w:lang w:eastAsia="en-US"/>
    </w:rPr>
  </w:style>
  <w:style w:type="paragraph" w:styleId="Heading2">
    <w:name w:val="heading 2"/>
    <w:basedOn w:val="Normal"/>
    <w:next w:val="Normal"/>
    <w:qFormat/>
    <w:pPr>
      <w:keepNext w:val="true"/>
      <w:widowControl w:val="false"/>
      <w:numPr>
        <w:ilvl w:val="1"/>
        <w:numId w:val="1"/>
      </w:numPr>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outlineLvl w:val="1"/>
    </w:pPr>
    <w:rPr>
      <w:rFonts w:ascii="Arial" w:hAnsi="Arial" w:cs="Arial"/>
      <w:color w:val="000000"/>
      <w:sz w:val="24"/>
      <w:u w:val="single"/>
      <w:lang w:eastAsia="en-US"/>
    </w:rPr>
  </w:style>
  <w:style w:type="paragraph" w:styleId="Heading3">
    <w:name w:val="heading 3"/>
    <w:basedOn w:val="Normal"/>
    <w:next w:val="Normal"/>
    <w:qFormat/>
    <w:pPr>
      <w:keepNext w:val="true"/>
      <w:widowControl w:val="fals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2"/>
    </w:pPr>
    <w:rPr>
      <w:rFonts w:ascii="Arial" w:hAnsi="Arial" w:cs="Arial"/>
      <w:caps/>
      <w:color w:val="000000"/>
      <w:sz w:val="24"/>
      <w:u w:val="single"/>
      <w:lang w:eastAsia="en-US"/>
    </w:rPr>
  </w:style>
  <w:style w:type="paragraph" w:styleId="Heading4">
    <w:name w:val="heading 4"/>
    <w:basedOn w:val="Normal"/>
    <w:next w:val="Normal"/>
    <w:qFormat/>
    <w:pPr>
      <w:keepNext w:val="true"/>
      <w:widowControl w:val="false"/>
      <w:numPr>
        <w:ilvl w:val="3"/>
        <w:numId w:val="1"/>
      </w:numPr>
      <w:tabs>
        <w:tab w:val="clear" w:pos="720"/>
        <w:tab w:val="left" w:pos="864" w:leader="none"/>
        <w:tab w:val="left" w:pos="1584" w:leader="none"/>
        <w:tab w:val="left" w:pos="4464" w:leader="none"/>
      </w:tabs>
      <w:ind w:hanging="720" w:start="864" w:end="144"/>
      <w:jc w:val="center"/>
      <w:outlineLvl w:val="3"/>
    </w:pPr>
    <w:rPr>
      <w:rFonts w:ascii="Arial" w:hAnsi="Arial" w:cs="Arial"/>
      <w:color w:val="000000"/>
      <w:sz w:val="24"/>
      <w:lang w:eastAsia="en-US"/>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824" w:leader="none"/>
      </w:tabs>
      <w:spacing w:lineRule="auto" w:line="480"/>
      <w:outlineLvl w:val="4"/>
    </w:pPr>
    <w:rPr>
      <w:rFonts w:ascii="Arial" w:hAnsi="Arial" w:cs="Arial"/>
      <w:sz w:val="24"/>
    </w:rPr>
  </w:style>
  <w:style w:type="paragraph" w:styleId="Heading6">
    <w:name w:val="heading 6"/>
    <w:basedOn w:val="Normal"/>
    <w:next w:val="Normal"/>
    <w:qFormat/>
    <w:pPr>
      <w:keepNext w:val="true"/>
      <w:widowControl w:val="false"/>
      <w:numPr>
        <w:ilvl w:val="5"/>
        <w:numId w:val="1"/>
      </w:numPr>
      <w:tabs>
        <w:tab w:val="left" w:pos="720" w:leader="none"/>
        <w:tab w:val="left" w:pos="1440" w:leader="none"/>
        <w:tab w:val="left" w:pos="2160" w:leader="none"/>
        <w:tab w:val="left" w:pos="2880" w:leader="none"/>
        <w:tab w:val="left" w:pos="3600" w:leader="none"/>
        <w:tab w:val="left" w:pos="4824" w:leader="none"/>
      </w:tabs>
      <w:spacing w:lineRule="auto" w:line="480"/>
      <w:ind w:hanging="0" w:start="90" w:end="0"/>
      <w:jc w:val="center"/>
      <w:outlineLvl w:val="5"/>
    </w:pPr>
    <w:rPr>
      <w:rFonts w:ascii="Arial" w:hAnsi="Arial" w:cs="Arial"/>
      <w:b/>
      <w:sz w:val="24"/>
      <w:u w:val="single"/>
      <w:lang w:eastAsia="en-US"/>
    </w:rPr>
  </w:style>
  <w:style w:type="paragraph" w:styleId="Heading7">
    <w:name w:val="heading 7"/>
    <w:basedOn w:val="Normal"/>
    <w:next w:val="Normal"/>
    <w:qFormat/>
    <w:pPr>
      <w:keepNext w:val="true"/>
      <w:numPr>
        <w:ilvl w:val="6"/>
        <w:numId w:val="1"/>
      </w:numPr>
      <w:tabs>
        <w:tab w:val="clear" w:pos="720"/>
        <w:tab w:val="left" w:pos="5040" w:leader="none"/>
        <w:tab w:val="left" w:pos="5580" w:leader="none"/>
      </w:tabs>
      <w:jc w:val="center"/>
      <w:outlineLvl w:val="6"/>
    </w:pPr>
    <w:rPr>
      <w:rFonts w:ascii="Arial" w:hAnsi="Arial" w:cs="Arial"/>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8z0">
    <w:name w:val="WW8Num8z0"/>
    <w:qFormat/>
    <w:rPr>
      <w:rFonts w:ascii="Arial" w:hAnsi="Arial" w:cs="Arial"/>
      <w:sz w:val="24"/>
    </w:rPr>
  </w:style>
  <w:style w:type="character" w:styleId="WW8Num8z3">
    <w:name w:val="WW8Num8z3"/>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3z0">
    <w:name w:val="WW8Num13z0"/>
    <w:qFormat/>
    <w:rPr>
      <w:rFonts w:ascii="Arial" w:hAnsi="Arial" w:cs="Arial"/>
      <w:sz w:val="24"/>
    </w:rPr>
  </w:style>
  <w:style w:type="character" w:styleId="WW8Num14z0">
    <w:name w:val="WW8Num14z0"/>
    <w:qFormat/>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s>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jc w:val="center"/>
    </w:pPr>
    <w:rPr>
      <w:rFonts w:ascii="Arial" w:hAnsi="Arial" w:cs="Arial"/>
      <w:color w:val="000000"/>
      <w:sz w:val="24"/>
      <w:u w:val="single"/>
      <w:lang w:eastAsia="en-US"/>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0" w:start="720" w:end="0"/>
    </w:pPr>
    <w:rPr>
      <w:rFonts w:ascii="Arial" w:hAnsi="Arial" w:cs="Arial"/>
      <w:color w:val="000000"/>
      <w:sz w:val="24"/>
      <w:lang w:eastAsia="en-US"/>
    </w:rPr>
  </w:style>
  <w:style w:type="paragraph" w:styleId="BodyTextIndent2">
    <w:name w:val="Body Text Indent 2"/>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450" w:start="720" w:end="0"/>
    </w:pPr>
    <w:rPr>
      <w:rFonts w:ascii="Arial" w:hAnsi="Arial" w:cs="Arial"/>
      <w:color w:val="000000"/>
      <w:sz w:val="24"/>
      <w:lang w:eastAsia="en-US"/>
    </w:rPr>
  </w:style>
  <w:style w:type="paragraph" w:styleId="BodyTextIndent3">
    <w:name w:val="Body Text Indent 3"/>
    <w:basedOn w:val="Normal"/>
    <w:qFormat/>
    <w:pPr>
      <w:widowControl w:val="false"/>
      <w:tabs>
        <w:tab w:val="left" w:pos="720" w:leader="none"/>
        <w:tab w:val="left" w:pos="1413" w:leader="none"/>
        <w:tab w:val="left" w:pos="1440" w:leader="none"/>
        <w:tab w:val="left" w:pos="2160" w:leader="none"/>
        <w:tab w:val="left" w:pos="2880" w:leader="none"/>
        <w:tab w:val="left" w:pos="3600" w:leader="none"/>
        <w:tab w:val="left" w:pos="4320" w:leader="none"/>
      </w:tabs>
      <w:spacing w:lineRule="atLeast" w:line="480"/>
      <w:ind w:hanging="0" w:start="90" w:end="0"/>
    </w:pPr>
    <w:rPr>
      <w:rFonts w:ascii="Arial" w:hAnsi="Arial" w:cs="Arial"/>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2160" w:leader="none"/>
        <w:tab w:val="left" w:pos="2880" w:leader="none"/>
        <w:tab w:val="left" w:pos="3600" w:leader="none"/>
        <w:tab w:val="left" w:pos="4320" w:leader="none"/>
      </w:tabs>
      <w:jc w:val="center"/>
    </w:pPr>
    <w:rPr>
      <w:rFonts w:ascii="Arial" w:hAnsi="Arial" w:cs="Arial"/>
      <w:sz w:val="24"/>
    </w:rPr>
  </w:style>
  <w:style w:type="paragraph" w:styleId="BodySingle">
    <w:name w:val="Body Single"/>
    <w:qFormat/>
    <w:pPr>
      <w:widowControl/>
      <w:bidi w:val="0"/>
    </w:pPr>
    <w:rPr>
      <w:rFonts w:ascii="Times New Roman" w:hAnsi="Times New Roman" w:eastAsia="Times New Roman" w:cs="Times New Roman"/>
      <w:color w:val="000000"/>
      <w:sz w:val="24"/>
      <w:szCs w:val="20"/>
      <w:lang w:val="en-US" w:eastAsia="en-US" w:bidi="hi-IN"/>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lockText">
    <w:name w:val="Block Text"/>
    <w:basedOn w:val="Normal"/>
    <w:qFormat/>
    <w:pPr>
      <w:tabs>
        <w:tab w:val="clear" w:pos="720"/>
        <w:tab w:val="left" w:pos="576" w:leader="none"/>
        <w:tab w:val="left" w:pos="864" w:leader="none"/>
      </w:tabs>
      <w:ind w:hanging="0" w:start="576" w:end="864"/>
    </w:pPr>
    <w:rPr>
      <w:rFonts w:ascii="Arial" w:hAnsi="Arial" w:cs="Arial"/>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mailto:gtfox@pecorp.com" TargetMode="Externa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2000-11-07T19:05:00Z</dcterms:created>
  <dc:creator>Ann T. Browne</dc:creator>
  <dc:description>97-0297 - Direct Testimony of Valerie Grace.  </dc:description>
  <dc:language>en-CA</dc:language>
  <cp:lastModifiedBy>FOXGE</cp:lastModifiedBy>
  <cp:lastPrinted>2000-08-22T15:19:00Z</cp:lastPrinted>
  <dcterms:modified xsi:type="dcterms:W3CDTF">2000-11-08T13:39:00Z</dcterms:modified>
  <cp:revision>3</cp:revision>
  <dc:subject/>
  <dc:title>STATE OF ILLINOIS</dc:title>
</cp:coreProperties>
</file>