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40"/>
        </w:rPr>
      </w:pPr>
      <w:r>
        <w:rPr>
          <w:b/>
          <w:sz w:val="40"/>
        </w:rPr>
      </w:r>
    </w:p>
    <w:p>
      <w:pPr>
        <w:pStyle w:val="Normal"/>
        <w:rPr>
          <w:b/>
          <w:sz w:val="40"/>
        </w:rPr>
      </w:pPr>
      <w:r>
        <w:rPr>
          <w:b/>
          <w:sz w:val="40"/>
        </w:rPr>
      </w:r>
    </w:p>
    <w:p>
      <w:pPr>
        <w:pStyle w:val="Heading4"/>
        <w:ind w:hanging="0" w:start="0"/>
        <w:rPr/>
      </w:pPr>
      <w:r>
        <w:rPr/>
        <w:t>PROJECT WHEAT</w:t>
      </w:r>
    </w:p>
    <w:p>
      <w:pPr>
        <w:pStyle w:val="Heading4"/>
        <w:ind w:hanging="0" w:start="0"/>
        <w:rPr/>
      </w:pPr>
      <w:r>
        <w:rPr/>
        <w:t>Document and Information Request</w:t>
      </w:r>
    </w:p>
    <w:p>
      <w:pPr>
        <w:pStyle w:val="Normal"/>
        <w:numPr>
          <w:ilvl w:val="0"/>
          <w:numId w:val="0"/>
        </w:numPr>
        <w:tabs>
          <w:tab w:val="clear" w:pos="720"/>
          <w:tab w:val="center" w:pos="6480" w:leader="none"/>
        </w:tabs>
        <w:outlineLvl w:val="0"/>
        <w:rPr>
          <w:b/>
          <w:sz w:val="40"/>
        </w:rPr>
      </w:pPr>
      <w:r>
        <w:rPr>
          <w:b/>
          <w:sz w:val="40"/>
        </w:rPr>
      </w:r>
    </w:p>
    <w:p>
      <w:pPr>
        <w:pStyle w:val="Normal"/>
        <w:numPr>
          <w:ilvl w:val="0"/>
          <w:numId w:val="0"/>
        </w:numPr>
        <w:tabs>
          <w:tab w:val="clear" w:pos="720"/>
          <w:tab w:val="center" w:pos="6480" w:leader="none"/>
        </w:tabs>
        <w:jc w:val="center"/>
        <w:outlineLvl w:val="0"/>
        <w:rPr>
          <w:b/>
          <w:sz w:val="40"/>
        </w:rPr>
      </w:pPr>
      <w:r>
        <w:rPr>
          <w:b/>
          <w:sz w:val="40"/>
        </w:rPr>
        <w:t>For</w:t>
      </w:r>
    </w:p>
    <w:p>
      <w:pPr>
        <w:pStyle w:val="Normal"/>
        <w:numPr>
          <w:ilvl w:val="0"/>
          <w:numId w:val="0"/>
        </w:numPr>
        <w:tabs>
          <w:tab w:val="clear" w:pos="720"/>
          <w:tab w:val="center" w:pos="6480" w:leader="none"/>
        </w:tabs>
        <w:jc w:val="center"/>
        <w:outlineLvl w:val="0"/>
        <w:rPr>
          <w:b/>
          <w:sz w:val="40"/>
        </w:rPr>
      </w:pPr>
      <w:r>
        <w:rPr>
          <w:b/>
          <w:sz w:val="40"/>
        </w:rPr>
        <w:t>Enron</w:t>
      </w:r>
    </w:p>
    <w:p>
      <w:pPr>
        <w:pStyle w:val="Normal"/>
        <w:numPr>
          <w:ilvl w:val="0"/>
          <w:numId w:val="0"/>
        </w:numPr>
        <w:tabs>
          <w:tab w:val="clear" w:pos="720"/>
          <w:tab w:val="center" w:pos="6480" w:leader="none"/>
        </w:tabs>
        <w:jc w:val="center"/>
        <w:outlineLvl w:val="0"/>
        <w:rPr>
          <w:b/>
          <w:sz w:val="40"/>
        </w:rPr>
      </w:pPr>
      <w:r>
        <w:rPr>
          <w:b/>
          <w:sz w:val="40"/>
        </w:rPr>
        <w:t>Wheatland Facility</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t>Susan Flanagan</w:t>
      </w:r>
    </w:p>
    <w:p>
      <w:pPr>
        <w:pStyle w:val="Normal"/>
        <w:rPr>
          <w:b/>
          <w:sz w:val="28"/>
        </w:rPr>
      </w:pPr>
      <w:r>
        <w:rPr>
          <w:b/>
          <w:sz w:val="28"/>
        </w:rPr>
        <w:t>Vice President of M&amp;A</w:t>
      </w:r>
    </w:p>
    <w:p>
      <w:pPr>
        <w:pStyle w:val="Normal"/>
        <w:rPr>
          <w:b/>
          <w:sz w:val="28"/>
        </w:rPr>
      </w:pPr>
      <w:r>
        <w:rPr>
          <w:b/>
          <w:sz w:val="28"/>
        </w:rPr>
        <w:t>DPL Inc.</w:t>
      </w:r>
    </w:p>
    <w:p>
      <w:pPr>
        <w:pStyle w:val="Normal"/>
        <w:rPr>
          <w:b/>
          <w:sz w:val="28"/>
        </w:rPr>
      </w:pPr>
      <w:r>
        <w:rPr>
          <w:b/>
          <w:sz w:val="28"/>
        </w:rPr>
        <w:t>(937) 258-5506</w:t>
      </w:r>
    </w:p>
    <w:p>
      <w:pPr>
        <w:pStyle w:val="Normal"/>
        <w:rPr>
          <w:b/>
          <w:sz w:val="28"/>
        </w:rPr>
      </w:pPr>
      <w:r>
        <w:rPr>
          <w:b/>
          <w:sz w:val="28"/>
        </w:rPr>
        <w:t>Fax (937) 259-7386</w:t>
      </w:r>
    </w:p>
    <w:p>
      <w:pPr>
        <w:pStyle w:val="Normal"/>
        <w:rPr>
          <w:b/>
          <w:sz w:val="28"/>
        </w:rPr>
      </w:pPr>
      <w:r>
        <w:rPr>
          <w:b/>
          <w:sz w:val="28"/>
        </w:rPr>
        <w:t>Email DPLFLAN@Aol.com</w:t>
      </w:r>
      <w:r>
        <w:br w:type="page"/>
      </w:r>
    </w:p>
    <w:p>
      <w:pPr>
        <w:pStyle w:val="Heading2"/>
        <w:numPr>
          <w:ilvl w:val="0"/>
          <w:numId w:val="0"/>
        </w:numPr>
        <w:tabs>
          <w:tab w:val="clear" w:pos="6480"/>
        </w:tabs>
        <w:rPr>
          <w:b/>
          <w:sz w:val="28"/>
        </w:rPr>
      </w:pPr>
      <w:r>
        <w:rPr>
          <w:b/>
          <w:sz w:val="28"/>
        </w:rPr>
      </w:r>
    </w:p>
    <w:p>
      <w:pPr>
        <w:sectPr>
          <w:headerReference w:type="default" r:id="rId2"/>
          <w:footerReference w:type="default" r:id="rId3"/>
          <w:type w:val="nextPage"/>
          <w:pgSz w:orient="landscape" w:w="15840" w:h="12240"/>
          <w:pgMar w:left="1440" w:right="1440" w:gutter="0" w:header="720" w:top="1440" w:footer="720" w:bottom="1440"/>
          <w:pgNumType w:fmt="decimal"/>
          <w:formProt w:val="false"/>
          <w:textDirection w:val="lrTb"/>
          <w:docGrid w:type="default" w:linePitch="360" w:charSpace="0"/>
        </w:sectPr>
      </w:pPr>
    </w:p>
    <w:tbl>
      <w:tblPr>
        <w:tblW w:w="13770" w:type="dxa"/>
        <w:jc w:val="start"/>
        <w:tblInd w:w="-240" w:type="dxa"/>
        <w:tblLayout w:type="fixed"/>
        <w:tblCellMar>
          <w:top w:w="0" w:type="dxa"/>
          <w:start w:w="120" w:type="dxa"/>
          <w:bottom w:w="0" w:type="dxa"/>
          <w:end w:w="120" w:type="dxa"/>
        </w:tblCellMar>
      </w:tblPr>
      <w:tblGrid>
        <w:gridCol w:w="540"/>
        <w:gridCol w:w="5220"/>
        <w:gridCol w:w="1260"/>
        <w:gridCol w:w="1170"/>
        <w:gridCol w:w="1350"/>
        <w:gridCol w:w="4230"/>
      </w:tblGrid>
      <w:tr>
        <w:trPr>
          <w:tblHeader w:val="true"/>
        </w:trPr>
        <w:tc>
          <w:tcPr>
            <w:tcW w:w="54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2"/>
              </w:numPr>
              <w:jc w:val="center"/>
              <w:rPr>
                <w:b/>
                <w:sz w:val="20"/>
              </w:rPr>
            </w:pPr>
            <w:r>
              <w:rPr>
                <w:b/>
                <w:sz w:val="20"/>
              </w:rPr>
              <w:t>`</w:t>
            </w:r>
          </w:p>
        </w:tc>
        <w:tc>
          <w:tcPr>
            <w:tcW w:w="522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Management/General</w:t>
            </w:r>
          </w:p>
        </w:tc>
        <w:tc>
          <w:tcPr>
            <w:tcW w:w="126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170" w:type="dxa"/>
            <w:tcBorders>
              <w:top w:val="single" w:sz="8" w:space="0" w:color="000000"/>
              <w:start w:val="single" w:sz="8"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35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23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rPr>
            </w:pPr>
            <w:r>
              <w:rPr>
                <w:b/>
              </w:rPr>
              <w:t>Comments</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copies of all contracts and sub-contracts (including all contracts and subcontracts that are currently being negotiated) for the Wheatland facility, including but not limited to, Enron contracts with OEC, interconnection agreements, fuel contracts, maintenance/service contracts, water supply and makeup contracts, etc.</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All contracts that will remain in place are located in Deal Bench.  The Contract w/OEC will be terminated at closing of sale.</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Westinghouse Warranty Documents.</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See 01.03.02.03 in DealBench</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describe the control area and scheduling services provided by Enron affiliate under separate contract.</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To Discuss with Company</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the lease between Lake Acquisition and West Fork. In addition, provide any drawings, maps and photos associated w/ the lake.</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Lease is in DealBench. Enron has provided these drawings.</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Document 01.02.23 “Easements / Right of Ways”.</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 xml:space="preserve">Enron provided </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Document 01.02.23.10 “Carnahaw Easement”.</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Enron provided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the survey by Matthew W. Wannesmuehler of Benardin Lochmueller &amp; Associates”.</w:t>
            </w:r>
          </w:p>
        </w:tc>
        <w:tc>
          <w:tcPr>
            <w:tcW w:w="1260" w:type="dxa"/>
            <w:tcBorders>
              <w:top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Enron provided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Document 01.03.02 “Westinghouse Proposals”.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Westinghouse will not grant us permission to release.  Doc. 01.03.02.03 is the only Westinghouse contract available.</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current Salary and bonus structure, resumes and employment contracts for existing site personnel</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To Discuss with Company</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documents regarding leases, ownership, options, etc. for the property adjacent to the facility.</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No documents exist.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list any litigation or disputes that involve or are a result of the site development/operation or other litigation pending involving the LLCs.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These are listed in the Purchase and Sale schedules in DealBench.  No disputes exist.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supply details of related party transactions/agreements pertaining to the Wheatland facility including administrative support, gas supply, electric supply and dispatch, environmental services, legal support, technical support, etc.</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None of these agreements exist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breakdown of all O&amp;M costs (current year and 3 year forecast) and the methodology used to develop the forecast. Provide any scheduled capital expenditures over the next 3 years.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Will provide ’00 Actuals and ’01 Budget.  No maintenance CAPEX is currently planned.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Provide a schedule of all employee training completed to date and scheduled for the next year.</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Training qualifications can be provided at a later date</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IPALCO and Cinergy open access tariffs filed w/ FERC and any supporting documentation indicating status.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Normal"/>
              <w:spacing w:lineRule="atLeast" w:line="240"/>
              <w:jc w:val="center"/>
              <w:rPr>
                <w:color w:val="000000"/>
                <w:sz w:val="20"/>
              </w:rPr>
            </w:pPr>
            <w:r>
              <w:rPr>
                <w:color w:val="000000"/>
                <w:sz w:val="20"/>
              </w:rPr>
              <w:t>Please go to this website:</w:t>
            </w:r>
          </w:p>
          <w:p>
            <w:pPr>
              <w:pStyle w:val="Normal"/>
              <w:spacing w:lineRule="atLeast" w:line="240"/>
              <w:jc w:val="center"/>
              <w:rPr>
                <w:color w:val="000000"/>
                <w:sz w:val="20"/>
              </w:rPr>
            </w:pPr>
            <w:r>
              <w:rPr>
                <w:color w:val="000000"/>
                <w:sz w:val="20"/>
              </w:rPr>
              <w:t>http://oasis.ecar.org/OASIS/NODE</w:t>
            </w:r>
          </w:p>
          <w:p>
            <w:pPr>
              <w:pStyle w:val="QuickA"/>
              <w:numPr>
                <w:ilvl w:val="0"/>
                <w:numId w:val="0"/>
              </w:numPr>
              <w:ind w:hanging="0" w:start="0"/>
              <w:jc w:val="center"/>
              <w:rPr>
                <w:color w:val="000000"/>
                <w:sz w:val="20"/>
              </w:rPr>
            </w:pPr>
            <w:r>
              <w:rPr>
                <w:color w:val="000000"/>
                <w:sz w:val="20"/>
              </w:rPr>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any other power agreement for the facility not included in the Deal Bench data room.</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There are none.</w:t>
            </w:r>
          </w:p>
        </w:tc>
      </w:tr>
    </w:tbl>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r>
    </w:p>
    <w:tbl>
      <w:tblPr>
        <w:tblW w:w="14490" w:type="dxa"/>
        <w:jc w:val="start"/>
        <w:tblInd w:w="-240" w:type="dxa"/>
        <w:tblLayout w:type="fixed"/>
        <w:tblCellMar>
          <w:top w:w="0" w:type="dxa"/>
          <w:start w:w="120" w:type="dxa"/>
          <w:bottom w:w="0" w:type="dxa"/>
          <w:end w:w="120" w:type="dxa"/>
        </w:tblCellMar>
      </w:tblPr>
      <w:tblGrid>
        <w:gridCol w:w="540"/>
        <w:gridCol w:w="5310"/>
        <w:gridCol w:w="1170"/>
        <w:gridCol w:w="1080"/>
        <w:gridCol w:w="1440"/>
        <w:gridCol w:w="4950"/>
      </w:tblGrid>
      <w:tr>
        <w:trPr>
          <w:tblHeader w:val="true"/>
        </w:trPr>
        <w:tc>
          <w:tcPr>
            <w:tcW w:w="540" w:type="dxa"/>
            <w:tcBorders>
              <w:top w:val="single" w:sz="8" w:space="0" w:color="000000"/>
              <w:start w:val="single" w:sz="8" w:space="0" w:color="000000"/>
              <w:bottom w:val="single" w:sz="8" w:space="0" w:color="000000"/>
              <w:end w:val="single" w:sz="8" w:space="0" w:color="000000"/>
            </w:tcBorders>
            <w:shd w:fill="F2F2F2" w:val="clear"/>
            <w:vAlign w:val="bottom"/>
          </w:tcPr>
          <w:p>
            <w:pPr>
              <w:pStyle w:val="QuickA"/>
              <w:numPr>
                <w:ilvl w:val="0"/>
                <w:numId w:val="6"/>
              </w:numPr>
              <w:snapToGrid w:val="false"/>
              <w:jc w:val="center"/>
              <w:rPr>
                <w:b/>
                <w:sz w:val="20"/>
              </w:rPr>
            </w:pPr>
            <w:r>
              <w:rPr>
                <w:b/>
                <w:sz w:val="20"/>
              </w:rPr>
            </w:r>
          </w:p>
        </w:tc>
        <w:tc>
          <w:tcPr>
            <w:tcW w:w="531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Technical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4"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sz w:val="20"/>
              </w:rPr>
            </w:pPr>
            <w:r>
              <w:rPr>
                <w:b/>
                <w:sz w:val="20"/>
              </w:rPr>
              <w:t>C</w:t>
            </w:r>
            <w:r>
              <w:rPr>
                <w:b/>
              </w:rPr>
              <w:t>omments</w:t>
            </w:r>
          </w:p>
        </w:tc>
      </w:tr>
      <w:tr>
        <w:trPr/>
        <w:tc>
          <w:tcPr>
            <w:tcW w:w="540" w:type="dxa"/>
            <w:tcBorders>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b/>
                <w:sz w:val="20"/>
              </w:rPr>
            </w:r>
          </w:p>
        </w:tc>
        <w:tc>
          <w:tcPr>
            <w:tcW w:w="5310" w:type="dxa"/>
            <w:tcBorders>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all scheduled maintenance for the next three (3) years.</w:t>
            </w:r>
          </w:p>
        </w:tc>
        <w:tc>
          <w:tcPr>
            <w:tcW w:w="1170" w:type="dxa"/>
            <w:tcBorders>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maintenance is a function of starts.  Other than planned near-term maintenance, nothing else is planned.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list of Westinghouse modifications or upgrades for the 501D’s.</w:t>
            </w:r>
          </w:p>
          <w:p>
            <w:pPr>
              <w:pStyle w:val="Normal"/>
              <w:numPr>
                <w:ilvl w:val="0"/>
                <w:numId w:val="5"/>
              </w:numPr>
              <w:tabs>
                <w:tab w:val="clear" w:pos="720"/>
                <w:tab w:val="left" w:pos="-1440" w:leader="none"/>
                <w:tab w:val="left" w:pos="-720" w:leader="none"/>
                <w:tab w:val="left" w:pos="-120" w:leader="none"/>
                <w:tab w:val="left" w:pos="240" w:leader="none"/>
                <w:tab w:val="left" w:pos="510" w:leader="none"/>
                <w:tab w:val="left" w:pos="2160" w:leader="none"/>
              </w:tabs>
              <w:spacing w:before="0" w:after="58"/>
              <w:ind w:hanging="360" w:start="600" w:end="0"/>
              <w:rPr>
                <w:sz w:val="20"/>
              </w:rPr>
            </w:pPr>
            <w:r>
              <w:rPr>
                <w:sz w:val="20"/>
              </w:rPr>
              <w:t>List of modifications/upgrades that Enron has incorporated, or anticipates incorporating, into the facility.</w:t>
            </w:r>
          </w:p>
          <w:p>
            <w:pPr>
              <w:pStyle w:val="Normal"/>
              <w:numPr>
                <w:ilvl w:val="0"/>
                <w:numId w:val="5"/>
              </w:numPr>
              <w:tabs>
                <w:tab w:val="clear" w:pos="720"/>
                <w:tab w:val="left" w:pos="-1440" w:leader="none"/>
                <w:tab w:val="left" w:pos="-720" w:leader="none"/>
                <w:tab w:val="left" w:pos="-120" w:leader="none"/>
                <w:tab w:val="left" w:pos="240" w:leader="none"/>
                <w:tab w:val="left" w:pos="510" w:leader="none"/>
                <w:tab w:val="left" w:pos="2160" w:leader="none"/>
              </w:tabs>
              <w:spacing w:before="0" w:after="58"/>
              <w:ind w:hanging="360" w:start="600" w:end="0"/>
              <w:rPr>
                <w:sz w:val="20"/>
              </w:rPr>
            </w:pPr>
            <w:r>
              <w:rPr>
                <w:sz w:val="20"/>
              </w:rPr>
              <w:t xml:space="preserve">ENRON’s plans for mitigating any turbine blade cracking issues associated w/ these machines. </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QuickA"/>
              <w:numPr>
                <w:ilvl w:val="0"/>
                <w:numId w:val="0"/>
              </w:numPr>
              <w:ind w:hanging="0" w:start="0"/>
              <w:rPr>
                <w:sz w:val="20"/>
              </w:rPr>
            </w:pPr>
            <w:r>
              <w:rPr>
                <w:sz w:val="20"/>
              </w:rPr>
              <w:t>Please provide any studies conducted toward the expansion of the facility for more simple cycle gas turbines, or toward the conversion of the facility to a combined cycle plant. Please include the Technical and Economic backup.</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Designed to facilitate CCGT, with the appropriate underground interferences, spacing and water issues analyzed. Nothing materially done in terms of studies or actual documentation.  Also, have not done full aquifer analysis testing and water consumption analysis.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Westinghouse bulletins related to the Wheatland facility.</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“Engineering Drawings – Construction Drawings and Plot Plans” and all one-line diagrams of the Power Block and Switchyard.</w:t>
            </w:r>
          </w:p>
        </w:tc>
        <w:tc>
          <w:tcPr>
            <w:tcW w:w="1170" w:type="dxa"/>
            <w:tcBorders>
              <w:top w:val="single" w:sz="6" w:space="0" w:color="000000"/>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Enron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startup curves for cold, warm and hot starts for all four units.</w:t>
            </w:r>
          </w:p>
        </w:tc>
        <w:tc>
          <w:tcPr>
            <w:tcW w:w="1170" w:type="dxa"/>
            <w:tcBorders>
              <w:top w:val="single" w:sz="2" w:space="0" w:color="000000"/>
              <w:start w:val="single" w:sz="4" w:space="0" w:color="000000"/>
              <w:bottom w:val="single" w:sz="2" w:space="0" w:color="000000"/>
              <w:end w:val="single" w:sz="2"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explaining the apparent difference in the output and performance of Unit 3.</w:t>
            </w:r>
          </w:p>
        </w:tc>
        <w:tc>
          <w:tcPr>
            <w:tcW w:w="1170" w:type="dxa"/>
            <w:tcBorders>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b/>
                <w:sz w:val="20"/>
              </w:rPr>
            </w:pPr>
            <w:r>
              <w:rPr>
                <w:sz w:val="20"/>
              </w:rPr>
              <w:t>The guarantee for the units are site wide and not on a per unit basis.  Through fine-tuning, some of the units outperform others.   Seimens-Westinghouse chose which units to fine tune to achieve site wide guarantee.</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b/>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Oct. 2000 maintenance outage work scope and final outage report.</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explain the gas pressure related issues identified in the June Operation Report from C. Norris to M. Robbins dated July 10, 2000.</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 xml:space="preserve">Please provide your procedure for storing and handling “critical” spare parts (i.e.; WDPF boards).  Provide your definition for classifying parts as “critical” and your list of “critical” spare parts.  </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following gas pipeline information:</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Points of gas receipt used for the site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Has the interruptible contract caused any supply disruptions or problems w/ lack of pressure?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The root cause for the units being inoperable due to pressure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Can the existing gas contracts be assigned to purchaser?</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 xml:space="preserve">How does the pipeline treat hourly and daily gas use imbalances? </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much notice is needed for unit startup and shut down?</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Can the plant operate w/o a gas nomination?</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The Wheatland interconnect is off of Midwestern</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Supply disruptions have not been encountered.</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Never has happened (Can run between 500-900 psi)</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Gas transport documents are in DealBench and will be assigned with the sale.</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 xml:space="preserve"> </w:t>
            </w:r>
            <w:r>
              <w:rPr>
                <w:sz w:val="20"/>
              </w:rPr>
              <w:t>Doesn’t have to be in balance hourly.  The pipeline is a daily imbalance.</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30-minute ramp up and minimal notice to shut down.</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Midwestern requests that a notice be provided, but we have operated with out one.</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much pipeline capacity is available for the facility?</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Were other pipelines considered for use during the facility planning and development stages? Why were the other pipelines not used (please provide supporting data)?</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No, Enron looked for the most logical spot, in terms of gas and power intersections and back-haul opportunities from liquid point to the Chicago market hub.  For this site, this is the only pipeline to use.</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bCs/>
                <w:sz w:val="20"/>
                <w:u w:val="single"/>
              </w:rPr>
            </w:pPr>
            <w:r>
              <w:rPr>
                <w:b/>
                <w:bCs/>
                <w:sz w:val="20"/>
                <w:u w:val="single"/>
              </w:rPr>
              <w:t>Please provide follow-up information related to the turbine vibration problem and the results of actions taken on the recent outage.</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10/25/00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jc w:val="center"/>
              <w:rPr>
                <w:sz w:val="20"/>
              </w:rPr>
            </w:pPr>
            <w:r>
              <w:rPr>
                <w:sz w:val="20"/>
              </w:rPr>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bCs/>
                <w:sz w:val="20"/>
                <w:u w:val="single"/>
              </w:rPr>
            </w:pPr>
            <w:r>
              <w:rPr>
                <w:b/>
                <w:bCs/>
                <w:sz w:val="20"/>
                <w:u w:val="single"/>
              </w:rPr>
              <w:t>How much gas capacity does Midwestern have available for the Wheatland facility?</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10/25/00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jc w:val="center"/>
              <w:rPr>
                <w:sz w:val="20"/>
              </w:rPr>
            </w:pPr>
            <w:r>
              <w:rPr>
                <w:sz w:val="20"/>
              </w:rPr>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bCs/>
                <w:sz w:val="20"/>
                <w:u w:val="single"/>
              </w:rPr>
            </w:pPr>
            <w:r>
              <w:rPr>
                <w:b/>
                <w:bCs/>
                <w:sz w:val="20"/>
                <w:u w:val="single"/>
              </w:rPr>
              <w:t>How are the daily balancing issues for the site managed with Midwestern?</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10/25/00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jc w:val="center"/>
              <w:rPr>
                <w:sz w:val="20"/>
              </w:rPr>
            </w:pPr>
            <w:r>
              <w:rPr>
                <w:sz w:val="20"/>
              </w:rPr>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bCs/>
                <w:sz w:val="20"/>
                <w:u w:val="single"/>
              </w:rPr>
            </w:pPr>
            <w:r>
              <w:rPr>
                <w:b/>
                <w:bCs/>
                <w:sz w:val="20"/>
                <w:u w:val="single"/>
              </w:rPr>
              <w:t>Please provide the Permit to Construct for the facility.</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10/25/00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jc w:val="center"/>
              <w:rPr>
                <w:sz w:val="20"/>
              </w:rPr>
            </w:pPr>
            <w:r>
              <w:rPr>
                <w:sz w:val="20"/>
              </w:rPr>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r>
    </w:p>
    <w:tbl>
      <w:tblPr>
        <w:tblW w:w="14490" w:type="dxa"/>
        <w:jc w:val="start"/>
        <w:tblInd w:w="-240" w:type="dxa"/>
        <w:tblLayout w:type="fixed"/>
        <w:tblCellMar>
          <w:top w:w="0" w:type="dxa"/>
          <w:start w:w="120" w:type="dxa"/>
          <w:bottom w:w="0" w:type="dxa"/>
          <w:end w:w="120" w:type="dxa"/>
        </w:tblCellMar>
      </w:tblPr>
      <w:tblGrid>
        <w:gridCol w:w="540"/>
        <w:gridCol w:w="5310"/>
        <w:gridCol w:w="1170"/>
        <w:gridCol w:w="1080"/>
        <w:gridCol w:w="1440"/>
        <w:gridCol w:w="4950"/>
      </w:tblGrid>
      <w:tr>
        <w:trPr>
          <w:tblHeader w:val="true"/>
        </w:trPr>
        <w:tc>
          <w:tcPr>
            <w:tcW w:w="540" w:type="dxa"/>
            <w:tcBorders>
              <w:top w:val="single" w:sz="8" w:space="0" w:color="000000"/>
              <w:start w:val="single" w:sz="8" w:space="0" w:color="000000"/>
              <w:bottom w:val="single" w:sz="8" w:space="0" w:color="000000"/>
              <w:end w:val="single" w:sz="8" w:space="0" w:color="000000"/>
            </w:tcBorders>
            <w:shd w:fill="F2F2F2" w:val="clear"/>
            <w:vAlign w:val="bottom"/>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b/>
                <w:sz w:val="20"/>
              </w:rPr>
            </w:pPr>
            <w:r>
              <w:rPr>
                <w:b/>
                <w:sz w:val="20"/>
              </w:rPr>
            </w:r>
          </w:p>
        </w:tc>
        <w:tc>
          <w:tcPr>
            <w:tcW w:w="531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Financial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8" w:space="0" w:color="000000"/>
              <w:bottom w:val="single" w:sz="8" w:space="0" w:color="000000"/>
              <w:end w:val="single" w:sz="4"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ind w:end="1590"/>
              <w:jc w:val="center"/>
              <w:rPr>
                <w:b/>
              </w:rPr>
            </w:pPr>
            <w:r>
              <w:rPr>
                <w:b/>
              </w:rPr>
              <w:t>Comments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b/>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annual and three (3) year Business Plans, including the additional capital forecasted</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 w:val="left" w:pos="4110" w:leader="none"/>
                <w:tab w:val="left" w:pos="4290" w:leader="none"/>
                <w:tab w:val="left" w:pos="4650" w:leader="none"/>
                <w:tab w:val="left" w:pos="4980" w:leader="none"/>
              </w:tabs>
              <w:spacing w:before="0" w:after="58"/>
              <w:ind w:end="510"/>
              <w:rPr>
                <w:sz w:val="20"/>
              </w:rPr>
            </w:pPr>
            <w:r>
              <w:rPr>
                <w:sz w:val="20"/>
              </w:rPr>
              <w:t>None Exist.</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analysis of capital cost estimates to determine the feasible of adding combined cycle or additional simple cycle generation to the site</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This has not been formally documented.</w:t>
            </w:r>
          </w:p>
        </w:tc>
      </w:tr>
      <w:tr>
        <w:trPr>
          <w:trHeight w:val="363" w:hRule="atLeast"/>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all LLC financial statements, including income statements and balance sheets on a quarterly and annual basis. Please provide monthly management reports.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discuss with DPL.</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details of all liabilities of the LLCs as well as any commitments and contingencies or pending litigation, including employee obligations.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discuss with DPL.</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What is the station power consumption rate and how much has been paid for this consumption in 2000?  Please provide the monthly cash flows.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bl>
    <w:p>
      <w:pPr>
        <w:pStyle w:val="Header"/>
        <w:tabs>
          <w:tab w:val="clear" w:pos="4320"/>
          <w:tab w:val="clear" w:pos="8640"/>
        </w:tabs>
        <w:ind w:end="684"/>
        <w:rPr/>
      </w:pPr>
      <w:r>
        <w:rPr/>
      </w:r>
      <w:r>
        <w:br w:type="page"/>
      </w:r>
    </w:p>
    <w:p>
      <w:pPr>
        <w:pStyle w:val="Header"/>
        <w:tabs>
          <w:tab w:val="clear" w:pos="4320"/>
          <w:tab w:val="clear" w:pos="8640"/>
        </w:tabs>
        <w:ind w:end="684"/>
        <w:rPr/>
      </w:pPr>
      <w:r>
        <w:rPr/>
      </w:r>
    </w:p>
    <w:tbl>
      <w:tblPr>
        <w:tblW w:w="14490" w:type="dxa"/>
        <w:jc w:val="start"/>
        <w:tblInd w:w="-240" w:type="dxa"/>
        <w:tblLayout w:type="fixed"/>
        <w:tblCellMar>
          <w:top w:w="0" w:type="dxa"/>
          <w:start w:w="120" w:type="dxa"/>
          <w:bottom w:w="0" w:type="dxa"/>
          <w:end w:w="120" w:type="dxa"/>
        </w:tblCellMar>
      </w:tblPr>
      <w:tblGrid>
        <w:gridCol w:w="630"/>
        <w:gridCol w:w="5220"/>
        <w:gridCol w:w="1170"/>
        <w:gridCol w:w="1080"/>
        <w:gridCol w:w="1440"/>
        <w:gridCol w:w="4950"/>
      </w:tblGrid>
      <w:tr>
        <w:trPr>
          <w:tblHeader w:val="true"/>
        </w:trPr>
        <w:tc>
          <w:tcPr>
            <w:tcW w:w="630" w:type="dxa"/>
            <w:tcBorders>
              <w:top w:val="single" w:sz="8" w:space="0" w:color="000000"/>
              <w:start w:val="single" w:sz="8" w:space="0" w:color="000000"/>
              <w:bottom w:val="single" w:sz="4" w:space="0" w:color="000000"/>
              <w:end w:val="single" w:sz="8" w:space="0" w:color="000000"/>
            </w:tcBorders>
            <w:shd w:fill="F2F2F2" w:val="clear"/>
            <w:vAlign w:val="bottom"/>
          </w:tcPr>
          <w:p>
            <w:pPr>
              <w:pStyle w:val="QuickA"/>
              <w:numPr>
                <w:ilvl w:val="0"/>
                <w:numId w:val="0"/>
              </w:numPr>
              <w:ind w:hanging="0" w:start="0"/>
              <w:rPr>
                <w:b/>
                <w:sz w:val="20"/>
              </w:rPr>
            </w:pPr>
            <w:r>
              <w:rPr>
                <w:b/>
                <w:sz w:val="20"/>
              </w:rPr>
              <w:t>4.0</w:t>
            </w:r>
          </w:p>
        </w:tc>
        <w:tc>
          <w:tcPr>
            <w:tcW w:w="5220" w:type="dxa"/>
            <w:tcBorders>
              <w:top w:val="single" w:sz="8" w:space="0" w:color="000000"/>
              <w:start w:val="single" w:sz="8" w:space="0" w:color="000000"/>
              <w:bottom w:val="single" w:sz="4" w:space="0" w:color="000000"/>
              <w:end w:val="single" w:sz="4" w:space="0" w:color="000000"/>
            </w:tcBorders>
            <w:shd w:fill="F2F2F2" w:val="clear"/>
            <w:vAlign w:val="bottom"/>
          </w:tcPr>
          <w:p>
            <w:pPr>
              <w:pStyle w:val="QuickA"/>
              <w:numPr>
                <w:ilvl w:val="0"/>
                <w:numId w:val="0"/>
              </w:numPr>
              <w:ind w:hanging="0" w:start="0"/>
              <w:jc w:val="center"/>
              <w:rPr>
                <w:b/>
              </w:rPr>
            </w:pPr>
            <w:r>
              <w:rPr>
                <w:b/>
              </w:rPr>
              <w:t>Environmental</w:t>
            </w:r>
          </w:p>
        </w:tc>
        <w:tc>
          <w:tcPr>
            <w:tcW w:w="1170" w:type="dxa"/>
            <w:tcBorders>
              <w:top w:val="single" w:sz="8" w:space="0" w:color="000000"/>
              <w:start w:val="single" w:sz="4" w:space="0" w:color="000000"/>
              <w:bottom w:val="single" w:sz="4"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4"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4" w:space="0" w:color="000000"/>
              <w:bottom w:val="single" w:sz="4"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950" w:type="dxa"/>
            <w:tcBorders>
              <w:top w:val="single" w:sz="8" w:space="0" w:color="000000"/>
              <w:start w:val="single" w:sz="4" w:space="0" w:color="000000"/>
              <w:bottom w:val="single" w:sz="4"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Comments</w:t>
            </w:r>
          </w:p>
        </w:tc>
      </w:tr>
      <w:tr>
        <w:trPr>
          <w:trHeight w:val="1528" w:hRule="atLeast"/>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emission profiles with and without evaporative cooling, at load ranges of 0 – 100% (in 5% increments) at ambient temperatures of –15, -5, 5, 15, 25, 35, 45, 55, 65, 75, 85, and 95 degrees F, that include the #/hr and ppmvd of NOx CO, SO2, VOC, and particulates, as adjusted for site elevation.  Emission profiles should also include output, heat rate, exhaust flow, exhaust temp.</w:t>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b/>
                <w:bCs/>
                <w:sz w:val="20"/>
                <w:u w:val="single"/>
              </w:rPr>
              <w:t>A copy of the air permit has not been provided.   Please provide a copy.</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Please note that Appendix B-1 of the air permit application provides emission profiles for 75% and 100% load factors at 0, 27, 57, 89, and 95 degrees.</w:t>
            </w:r>
          </w:p>
          <w:p>
            <w:pPr>
              <w:pStyle w:val="Normal"/>
              <w:tabs>
                <w:tab w:val="left" w:pos="-1440" w:leader="none"/>
                <w:tab w:val="left" w:pos="-720" w:leader="none"/>
                <w:tab w:val="left" w:pos="-120" w:leader="none"/>
                <w:tab w:val="left" w:pos="720" w:leader="none"/>
              </w:tabs>
              <w:spacing w:before="0" w:after="58"/>
              <w:rPr>
                <w:b/>
                <w:bCs/>
                <w:sz w:val="20"/>
                <w:u w:val="single"/>
              </w:rPr>
            </w:pPr>
            <w:r>
              <w:rPr>
                <w:b/>
                <w:bCs/>
                <w:sz w:val="20"/>
                <w:u w:val="single"/>
              </w:rPr>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emissions compliance testing conducted in accordance with NSPS and Permit to Construct and any emissions testing to validate equipment warranties.</w:t>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bCs/>
                <w:sz w:val="20"/>
                <w:u w:val="single"/>
              </w:rPr>
            </w:pPr>
            <w:r>
              <w:rPr>
                <w:b/>
                <w:bCs/>
                <w:sz w:val="20"/>
                <w:u w:val="single"/>
              </w:rPr>
              <w:t>Document 04.01 C., an Enron e-mail, states that CEM certification testing is scheduled to take place in June 2001.  Please confirm date of CEM certification and compliance testing.</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b/>
                <w:bCs/>
                <w:sz w:val="20"/>
                <w:u w:val="single"/>
              </w:rPr>
            </w:pPr>
            <w:r>
              <w:rPr>
                <w:b/>
                <w:bCs/>
                <w:sz w:val="20"/>
                <w:u w:val="single"/>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the Performance Test Report conducted by McHale &amp; Associates prior to commissioning the turbines has been placed in the data room. Due to economic reasons, the EPA accepted this report as conditional demonstration of compliance with NSPS Subpart GG, pending a complete NSPS compliance demonstration to be conducted by January 30, 2001 during CEMS certification.</w:t>
            </w:r>
          </w:p>
          <w:p>
            <w:pPr>
              <w:pStyle w:val="Normal"/>
              <w:tabs>
                <w:tab w:val="left" w:pos="-1440" w:leader="none"/>
                <w:tab w:val="left" w:pos="-720" w:leader="none"/>
                <w:tab w:val="left" w:pos="-120" w:leader="none"/>
                <w:tab w:val="left" w:pos="720" w:leader="none"/>
              </w:tabs>
              <w:spacing w:before="0" w:after="58"/>
              <w:rPr>
                <w:sz w:val="20"/>
              </w:rPr>
            </w:pPr>
            <w:r>
              <w:rPr>
                <w:sz w:val="20"/>
              </w:rPr>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plant monitoring data for fuel nitrogen and sulfur content.</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 xml:space="preserve">The plant has not been sampled for fuel nitrogen and sulfur content in natural gas. The plant relied on sampling data generated by the natural gas supplier to ensure compliance with the NSPS requirements. The plant also has an approval from the EPA to conduct sulfur sampling on a semi-annual basis. </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4.4</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water-to-fuel ratio data during all operating hours.</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4.5</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Title 5 application submitted to IDEM.</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application has not been submitted. The due date for this application is April 2001.</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4.6</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Phase II Acid Rain Application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this application will be placed in the data room</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4.7</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results of CEM certification.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CEMS have not been certified. The EPA has approved an extension of the deadline until January 30, 2001.</w:t>
            </w:r>
          </w:p>
        </w:tc>
      </w:tr>
      <w:tr>
        <w:trPr>
          <w:trHeight w:val="2547" w:hRule="atLeast"/>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4.8</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stack gas stratification issues.</w:t>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bCs/>
                <w:sz w:val="20"/>
                <w:u w:val="single"/>
              </w:rPr>
            </w:pPr>
            <w:r>
              <w:rPr>
                <w:b/>
                <w:bCs/>
                <w:sz w:val="20"/>
                <w:u w:val="single"/>
              </w:rPr>
              <w:t>Please provide a copy of the letter f rom USEPA providing approval to delay CEM certification until 1/30/01.</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b/>
                <w:bCs/>
                <w:sz w:val="20"/>
                <w:u w:val="single"/>
              </w:rPr>
            </w:pPr>
            <w:r>
              <w:rPr>
                <w:b/>
                <w:bCs/>
                <w:sz w:val="20"/>
                <w:u w:val="single"/>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While attempting to certify the CEMS on August 7, 2000 within 90 days from commencement of commercial operation, we conducted a stratification check on units 1 and 2. One probe location on the edge of the stack indicated high oxygen and low CO and NOx readings. A copy of the stratification emissions report has been placed in the data room. An investigation of the stratification problem has not yet been conducted. The EPA, however, has given an approval to delay the CEMS certification until January 30, 2001, and of a procedure to certify the CEMS despite stratification.   </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4.9</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NOx, CO2 and CO CEM reports for all operating hours, including ppm, #/hr, #/mmBtu and cumulative TPY.</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4.10</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Standard Operating Procedures and QA/QC manual.</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4.11</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on initiation of water injection after startup (i.e. when water injection can be safely initiated).</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4.12</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Preventive Maintenance Plan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4.13</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Compliance Response Plan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4.14</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SPCC Plan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SPCC plan is still in development. The anticipated completion date is November 30, 2000.</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4.15</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Affidavit of Construction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4.16</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Operation Permit Validation letter.</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permit application has not been submitted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4.17</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revision to the Permit to Construct dated 3-13-00.</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This revision was to incorporate an emergency generator into the permit.</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4.18</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potable water supply agreement.</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Heading6"/>
              <w:spacing w:before="0" w:after="58"/>
              <w:ind w:hanging="0" w:start="0"/>
              <w:rPr>
                <w:b w:val="false"/>
              </w:rPr>
            </w:pPr>
            <w:r>
              <w:rPr>
                <w:b w:val="false"/>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4.19</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data on local water supplies, including well logs of local wells.</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4.20</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Phase II environmental assessments conducted on any properties included in this transaction.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Heading6"/>
              <w:spacing w:before="0" w:after="58"/>
              <w:ind w:hanging="0" w:start="0"/>
              <w:rPr>
                <w:b w:val="false"/>
              </w:rPr>
            </w:pPr>
            <w:r>
              <w:rPr>
                <w:b w:val="false"/>
              </w:rPr>
              <w:t>No Phase II assessments have been performed for any of the sites.</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4.21</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 on any zoning restrictions related to stack height or noise.</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Heading6"/>
              <w:spacing w:before="0" w:after="58"/>
              <w:ind w:hanging="0" w:start="0"/>
              <w:rPr>
                <w:b w:val="false"/>
              </w:rPr>
            </w:pPr>
            <w:r>
              <w:rPr>
                <w:b w:val="false"/>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4.22</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 quality analyses of water withdrawn from lake.</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4.23</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water quality control procedures, including methods for pH and conductivity adjustments.</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4.24</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raw water filtering requirements, prior to demineralization.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4.25</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custom schedule request to USEPA.</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has been placed in the data room</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4.26</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costs associated with operation and maintenance of CEMs including annual RATA testing, calibration gases, spare parts, etc.</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Clean Air Engineering is retained under contract to conduct quarterly linearity checks and annual RATA’s. A copy of this contract has been placed in the data room. There has not been enough run time to obtain an accurate cost assessment</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4.27</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contract with Ecolochem for demineralization of water.</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Demin water documents are in DealBench.</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4.28</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warranty agreement with CISCO.</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4.29</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determination of SARA reporting requirements under 311 and 312.</w:t>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bCs/>
                <w:sz w:val="20"/>
                <w:u w:val="single"/>
              </w:rPr>
            </w:pPr>
            <w:r>
              <w:rPr>
                <w:b/>
                <w:bCs/>
                <w:sz w:val="20"/>
                <w:u w:val="single"/>
              </w:rPr>
              <w:t>Please provide a copy of your sulfuric acid calculations from the lead acid batteries documenting it is below the 1,000 pounds threshold planning and not subject to the emergency planning requirements.</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b/>
                <w:bCs/>
                <w:sz w:val="20"/>
                <w:u w:val="single"/>
              </w:rPr>
            </w:pPr>
            <w:r>
              <w:rPr>
                <w:b/>
                <w:bCs/>
                <w:sz w:val="20"/>
                <w:u w:val="single"/>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It is our assessment that we do not hold any SARA chemical in quantities greater than 10,000 lbs. SARA reporting is not required. Additionally, this plant began operation in April 2000. The first SARA report, if applicable, is not due until July 1, 2001.  </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4.30</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need for a mercaptan  odorizing station.</w:t>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bCs/>
                <w:sz w:val="20"/>
                <w:u w:val="single"/>
              </w:rPr>
            </w:pPr>
            <w:r>
              <w:rPr>
                <w:b/>
                <w:bCs/>
                <w:sz w:val="20"/>
                <w:u w:val="single"/>
              </w:rPr>
              <w:t>Please provide documentation of legal requirements, if any, to use mercaptan.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This is a gas safety issue, which all plants should be using to detect gas linkage.  </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4.31</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hydrologic studies performed at the associated properties.</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4.32</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schedule of all environmental, health and safety required training and associated procedures.</w:t>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bCs/>
                <w:sz w:val="20"/>
                <w:u w:val="single"/>
              </w:rPr>
            </w:pPr>
            <w:r>
              <w:rPr>
                <w:b/>
                <w:bCs/>
                <w:sz w:val="20"/>
                <w:u w:val="single"/>
              </w:rPr>
              <w:t>The environmental compliance matrix and calendar in the dataroom does not appear to address training requirements.  Please provide a list of all training that has been conducted to date.</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p>
            <w:pPr>
              <w:pStyle w:val="QuickA"/>
              <w:numPr>
                <w:ilvl w:val="0"/>
                <w:numId w:val="0"/>
              </w:numPr>
              <w:ind w:hanging="0" w:start="0"/>
              <w:jc w:val="center"/>
              <w:rPr>
                <w:b/>
              </w:rPr>
            </w:pPr>
            <w:r>
              <w:rPr>
                <w:b/>
              </w:rPr>
              <w:t>Additional info requested</w:t>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An environmental compliance matrix and a calendar for this site have been placed in the data room.  </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4.33</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maximum water withdrawal rates from the lake reservoir and explain any limitations.</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4.34</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attachments to Section 3 of the Monitoring Plan, including the natural gas sulfur content documentation and flue flow meter documentation.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With the delay in CEMs certification until January 30, 2001, we have until December 15, 2000 to submit a revised monitoring plan with the appropriate attachments</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4.35</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of the CO CEM system, including equipment and calculation method.</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4.36</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your letter to USEPA dated September 15, 2000, as referenced in 04.01 D</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4.37</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your letter to USEPA dated June 21, 2000 as referenced in 04.01 C</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tc>
      </w:tr>
    </w:tbl>
    <w:p>
      <w:pPr>
        <w:pStyle w:val="Header"/>
        <w:tabs>
          <w:tab w:val="clear" w:pos="4320"/>
          <w:tab w:val="clear" w:pos="8640"/>
        </w:tabs>
        <w:ind w:end="684"/>
        <w:rPr>
          <w:sz w:val="20"/>
        </w:rPr>
      </w:pPr>
      <w:r>
        <w:rPr>
          <w:sz w:val="20"/>
        </w:rPr>
      </w:r>
    </w:p>
    <w:sectPr>
      <w:type w:val="continuous"/>
      <w:pgSz w:orient="landscape" w:w="15840" w:h="12240"/>
      <w:pgMar w:left="1008" w:right="1008" w:gutter="0" w:header="72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480" w:leader="none"/>
        <w:tab w:val="right" w:pos="9360" w:leader="none"/>
      </w:tabs>
      <w:rPr>
        <w:sz w:val="20"/>
      </w:rPr>
    </w:pPr>
    <w:r>
      <w:rPr>
        <w:sz w:val="20"/>
      </w:rPr>
    </w:r>
  </w:p>
  <w:p>
    <w:pPr>
      <w:pStyle w:val="Normal"/>
      <w:tabs>
        <w:tab w:val="clear" w:pos="720"/>
        <w:tab w:val="left" w:pos="6480" w:leader="none"/>
        <w:tab w:val="right" w:pos="9360" w:leader="none"/>
      </w:tabs>
      <w:rPr>
        <w:sz w:val="20"/>
      </w:rPr>
    </w:pPr>
    <w:r>
      <w:rPr>
        <w:sz w:val="20"/>
      </w:rPr>
    </w:r>
  </w:p>
  <w:p>
    <w:pPr>
      <w:pStyle w:val="Normal"/>
      <w:tabs>
        <w:tab w:val="clear" w:pos="720"/>
        <w:tab w:val="left" w:pos="6480" w:leader="none"/>
        <w:tab w:val="right" w:pos="9360" w:leader="none"/>
      </w:tabs>
      <w:rPr>
        <w:sz w:val="20"/>
      </w:rPr>
    </w:pPr>
    <w:r>
      <w:rPr>
        <w:sz w:val="20"/>
      </w:rPr>
      <w:fldChar w:fldCharType="begin"/>
    </w:r>
    <w:r>
      <w:rPr>
        <w:sz w:val="20"/>
      </w:rPr>
      <w:instrText xml:space="preserve"> FILENAME </w:instrText>
    </w:r>
    <w:r>
      <w:rPr>
        <w:sz w:val="20"/>
      </w:rPr>
      <w:fldChar w:fldCharType="separate"/>
    </w:r>
    <w:r>
      <w:rPr>
        <w:sz w:val="20"/>
      </w:rPr>
      <w:t>DocReq_001025_to_Enron.doc</w:t>
    </w:r>
    <w:r>
      <w:rPr>
        <w:sz w:val="20"/>
      </w:rPr>
      <w:fldChar w:fldCharType="end"/>
    </w:r>
  </w:p>
  <w:p>
    <w:pPr>
      <w:pStyle w:val="Normal"/>
      <w:tabs>
        <w:tab w:val="clear" w:pos="720"/>
        <w:tab w:val="left" w:pos="6480" w:leader="none"/>
        <w:tab w:val="right" w:pos="9360" w:leader="none"/>
      </w:tabs>
      <w:rPr/>
    </w:pPr>
    <w:r>
      <w:rPr>
        <w:sz w:val="20"/>
      </w:rPr>
      <w:fldChar w:fldCharType="begin"/>
    </w:r>
    <w:r>
      <w:rPr>
        <w:sz w:val="20"/>
      </w:rPr>
      <w:instrText xml:space="preserve"> DATE \@"MM\/dd\/yy" </w:instrText>
    </w:r>
    <w:r>
      <w:rPr>
        <w:sz w:val="20"/>
      </w:rPr>
      <w:fldChar w:fldCharType="separate"/>
    </w:r>
    <w:r>
      <w:rPr>
        <w:sz w:val="20"/>
      </w:rPr>
      <w:t>09/28/25</w:t>
    </w:r>
    <w:r>
      <w:rPr>
        <w:sz w:val="20"/>
      </w:rPr>
      <w:fldChar w:fldCharType="end"/>
    </w:r>
    <w:r>
      <w:rPr>
        <w:sz w:val="20"/>
      </w:rPr>
      <w:tab/>
      <w:t xml:space="preserve">- </w:t>
    </w:r>
    <w:r>
      <w:rPr>
        <w:sz w:val="20"/>
      </w:rPr>
      <w:fldChar w:fldCharType="begin"/>
    </w:r>
    <w:r>
      <w:rPr>
        <w:sz w:val="20"/>
      </w:rPr>
      <w:instrText xml:space="preserve"> PAGE </w:instrText>
    </w:r>
    <w:r>
      <w:rPr>
        <w:sz w:val="20"/>
      </w:rPr>
      <w:fldChar w:fldCharType="separate"/>
    </w:r>
    <w:r>
      <w:rPr>
        <w:sz w:val="20"/>
      </w:rPr>
      <w:t>11</w:t>
    </w:r>
    <w:r>
      <w:rPr>
        <w:sz w:val="20"/>
      </w:rPr>
      <w:fldChar w:fldCharType="end"/>
    </w:r>
    <w:r>
      <w:rPr>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and Proprietary</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lvlText w:val="1.%1"/>
      <w:lvlJc w:val="start"/>
      <w:pPr>
        <w:tabs>
          <w:tab w:val="num" w:pos="360"/>
        </w:tabs>
        <w:ind w:start="0" w:hanging="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decimal"/>
      <w:lvlText w:val="3.%1"/>
      <w:lvlJc w:val="start"/>
      <w:pPr>
        <w:tabs>
          <w:tab w:val="num" w:pos="360"/>
        </w:tabs>
        <w:ind w:start="0" w:hanging="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numFmt w:val="decimal"/>
      <w:lvlText w:val="2.%1"/>
      <w:lvlJc w:val="start"/>
      <w:pPr>
        <w:tabs>
          <w:tab w:val="num" w:pos="360"/>
        </w:tabs>
        <w:ind w:start="0" w:hanging="0"/>
      </w:pPr>
    </w:lvl>
  </w:abstractNum>
  <w:abstractNum w:abstractNumId="7">
    <w:lvl w:ilvl="0">
      <w:numFmt w:val="decimal"/>
      <w:lvlText w:val="0.%1"/>
      <w:lvlJc w:val="start"/>
      <w:pPr>
        <w:tabs>
          <w:tab w:val="num" w:pos="720"/>
        </w:tabs>
        <w:ind w:start="0" w:hanging="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firstLine="1260" w:start="9360" w:end="-990"/>
      <w:outlineLvl w:val="0"/>
    </w:pPr>
    <w:rPr>
      <w:b/>
      <w:sz w:val="20"/>
    </w:rPr>
  </w:style>
  <w:style w:type="paragraph" w:styleId="Heading2">
    <w:name w:val="heading 2"/>
    <w:basedOn w:val="Normal"/>
    <w:next w:val="Normal"/>
    <w:qFormat/>
    <w:pPr>
      <w:keepNext w:val="true"/>
      <w:numPr>
        <w:ilvl w:val="1"/>
        <w:numId w:val="1"/>
      </w:numPr>
      <w:tabs>
        <w:tab w:val="clear" w:pos="720"/>
        <w:tab w:val="center" w:pos="6480" w:leader="none"/>
      </w:tabs>
      <w:jc w:val="center"/>
      <w:outlineLvl w:val="1"/>
    </w:pPr>
    <w:rPr>
      <w:b/>
      <w:sz w:val="28"/>
    </w:rPr>
  </w:style>
  <w:style w:type="paragraph" w:styleId="Heading3">
    <w:name w:val="heading 3"/>
    <w:basedOn w:val="Normal"/>
    <w:next w:val="Normal"/>
    <w:qFormat/>
    <w:pPr>
      <w:keepNext w:val="true"/>
      <w:numPr>
        <w:ilvl w:val="2"/>
        <w:numId w:val="1"/>
      </w:numPr>
      <w:ind w:firstLine="1260" w:start="9360" w:end="0"/>
      <w:jc w:val="both"/>
      <w:outlineLvl w:val="2"/>
    </w:pPr>
    <w:rPr>
      <w:b/>
      <w:sz w:val="20"/>
    </w:rPr>
  </w:style>
  <w:style w:type="paragraph" w:styleId="Heading4">
    <w:name w:val="heading 4"/>
    <w:basedOn w:val="Normal"/>
    <w:next w:val="Normal"/>
    <w:qFormat/>
    <w:pPr>
      <w:keepNext w:val="true"/>
      <w:numPr>
        <w:ilvl w:val="3"/>
        <w:numId w:val="1"/>
      </w:numPr>
      <w:jc w:val="center"/>
      <w:outlineLvl w:val="3"/>
    </w:pPr>
    <w:rPr>
      <w:b/>
      <w:sz w:val="40"/>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tabs>
        <w:tab w:val="left" w:pos="-1440" w:leader="none"/>
        <w:tab w:val="left" w:pos="-720" w:leader="none"/>
        <w:tab w:val="left" w:pos="-120" w:leader="none"/>
        <w:tab w:val="left" w:pos="720" w:leader="none"/>
      </w:tabs>
      <w:spacing w:before="0" w:after="58"/>
      <w:outlineLvl w:val="5"/>
    </w:pPr>
    <w:rPr>
      <w:b/>
      <w:sz w:val="20"/>
    </w:rPr>
  </w:style>
  <w:style w:type="paragraph" w:styleId="Heading7">
    <w:name w:val="heading 7"/>
    <w:basedOn w:val="Normal"/>
    <w:next w:val="Normal"/>
    <w:qFormat/>
    <w:pPr>
      <w:keepNext w:val="true"/>
      <w:numPr>
        <w:ilvl w:val="6"/>
        <w:numId w:val="1"/>
      </w:numPr>
      <w:tabs>
        <w:tab w:val="left" w:pos="-1440" w:leader="none"/>
        <w:tab w:val="left" w:pos="-720" w:leader="none"/>
        <w:tab w:val="left" w:pos="-120" w:leader="none"/>
        <w:tab w:val="left" w:pos="720" w:leader="none"/>
      </w:tabs>
      <w:ind w:hanging="5040" w:start="5760" w:end="0"/>
      <w:outlineLvl w:val="6"/>
    </w:pPr>
    <w:rPr>
      <w:b/>
      <w:sz w:val="16"/>
    </w:rPr>
  </w:style>
  <w:style w:type="paragraph" w:styleId="Heading8">
    <w:name w:val="heading 8"/>
    <w:basedOn w:val="Normal"/>
    <w:next w:val="Normal"/>
    <w:qFormat/>
    <w:pPr>
      <w:keepNext w:val="true"/>
      <w:numPr>
        <w:ilvl w:val="7"/>
        <w:numId w:val="1"/>
      </w:numPr>
      <w:tabs>
        <w:tab w:val="left" w:pos="-1440" w:leader="none"/>
        <w:tab w:val="left" w:pos="-720" w:leader="none"/>
        <w:tab w:val="left" w:pos="-120" w:leader="none"/>
        <w:tab w:val="left" w:pos="720" w:leader="none"/>
      </w:tabs>
      <w:spacing w:before="0" w:after="58"/>
      <w:jc w:val="center"/>
      <w:outlineLvl w:val="7"/>
    </w:pPr>
    <w:rPr>
      <w:i/>
      <w:sz w:val="20"/>
    </w:rPr>
  </w:style>
  <w:style w:type="paragraph" w:styleId="Heading9">
    <w:name w:val="heading 9"/>
    <w:basedOn w:val="Normal"/>
    <w:next w:val="Normal"/>
    <w:qFormat/>
    <w:pPr>
      <w:keepNext w:val="true"/>
      <w:numPr>
        <w:ilvl w:val="8"/>
        <w:numId w:val="1"/>
      </w:numPr>
      <w:tabs>
        <w:tab w:val="clear" w:pos="720"/>
        <w:tab w:val="center" w:pos="6480" w:leader="none"/>
      </w:tabs>
      <w:outlineLvl w:val="8"/>
    </w:pPr>
    <w:rPr>
      <w:b/>
      <w:sz w:val="28"/>
    </w:rPr>
  </w:style>
  <w:style w:type="character" w:styleId="WW8Num4z0">
    <w:name w:val="WW8Num4z0"/>
    <w:qFormat/>
    <w:rPr>
      <w:rFonts w:ascii="Symbol" w:hAnsi="Symbol" w:cs="Symbol"/>
    </w:rPr>
  </w:style>
  <w:style w:type="character" w:styleId="WW8Num5z0">
    <w:name w:val="WW8Num5z0"/>
    <w:qFormat/>
    <w:rPr>
      <w:b/>
    </w:rPr>
  </w:style>
  <w:style w:type="character" w:styleId="WW8Num6z0">
    <w:name w:val="WW8Num6z0"/>
    <w:qFormat/>
    <w:rPr/>
  </w:style>
  <w:style w:type="character" w:styleId="WW8Num9z0">
    <w:name w:val="WW8Num9z0"/>
    <w:qFormat/>
    <w:rPr>
      <w:rFonts w:ascii="Times New Roman" w:hAnsi="Times New Roman" w:cs="Times New Roman"/>
      <w:b w:val="false"/>
      <w:i w:val="false"/>
      <w:sz w:val="24"/>
      <w:u w:val="none"/>
    </w:rPr>
  </w:style>
  <w:style w:type="character" w:styleId="WW8Num12z0">
    <w:name w:val="WW8Num12z0"/>
    <w:qFormat/>
    <w:rPr>
      <w:rFonts w:ascii="Times New Roman" w:hAnsi="Times New Roman" w:cs="Times New Roman"/>
      <w:b w:val="false"/>
      <w:i w:val="false"/>
      <w:sz w:val="24"/>
      <w:u w:val="none"/>
    </w:rPr>
  </w:style>
  <w:style w:type="character" w:styleId="WW8Num13z0">
    <w:name w:val="WW8Num13z0"/>
    <w:qFormat/>
    <w:rPr>
      <w:rFonts w:ascii="Wingdings" w:hAnsi="Wingdings" w:cs="Wingdings"/>
    </w:rPr>
  </w:style>
  <w:style w:type="character" w:styleId="WW8Num23z0">
    <w:name w:val="WW8Num23z0"/>
    <w:qFormat/>
    <w:rPr>
      <w:b/>
    </w:rPr>
  </w:style>
  <w:style w:type="character" w:styleId="WW8Num24z0">
    <w:name w:val="WW8Num24z0"/>
    <w:qFormat/>
    <w:rPr>
      <w:rFonts w:ascii="Times New Roman" w:hAnsi="Times New Roman" w:cs="Times New Roman"/>
      <w:b w:val="false"/>
      <w:i w:val="false"/>
      <w:sz w:val="24"/>
      <w:u w:val="none"/>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20" w:leader="none"/>
        <w:tab w:val="left" w:pos="240" w:leader="none"/>
        <w:tab w:val="left" w:pos="510" w:leader="none"/>
        <w:tab w:val="left" w:pos="216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QuickA">
    <w:name w:val="Quick A."/>
    <w:basedOn w:val="Normal"/>
    <w:qFormat/>
    <w:pPr>
      <w:numPr>
        <w:ilvl w:val="0"/>
        <w:numId w:val="7"/>
      </w:numPr>
    </w:pPr>
    <w:rPr/>
  </w:style>
  <w:style w:type="paragraph" w:styleId="BodyTextIndent">
    <w:name w:val="Body Text Indent"/>
    <w:basedOn w:val="Normal"/>
    <w:pPr>
      <w:tabs>
        <w:tab w:val="clear" w:pos="720"/>
        <w:tab w:val="left" w:pos="-1440" w:leader="none"/>
        <w:tab w:val="left" w:pos="-720" w:leader="none"/>
        <w:tab w:val="left" w:pos="-120" w:leader="none"/>
        <w:tab w:val="left" w:pos="240" w:leader="none"/>
        <w:tab w:val="left" w:pos="510" w:leader="none"/>
        <w:tab w:val="left" w:pos="2160" w:leader="none"/>
      </w:tabs>
      <w:ind w:hanging="270" w:start="51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2000-10-25T07:31:00Z</dcterms:created>
  <dc:creator>James D. Kopp</dc:creator>
  <dc:description/>
  <dc:language>en-CA</dc:language>
  <cp:lastModifiedBy>Donna Mullinax</cp:lastModifiedBy>
  <cp:lastPrinted>2000-10-25T06:01:00Z</cp:lastPrinted>
  <dcterms:modified xsi:type="dcterms:W3CDTF">2000-10-25T07:31:00Z</dcterms:modified>
  <cp:revision>3</cp:revision>
  <dc:subject/>
  <dc:title>Draft</dc:title>
</cp:coreProperties>
</file>