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Heading4"/>
        <w:ind w:hanging="0" w:start="0"/>
        <w:rPr/>
      </w:pPr>
      <w:r>
        <w:rPr/>
        <w:t>PROJECT WHEAT</w:t>
      </w:r>
    </w:p>
    <w:p>
      <w:pPr>
        <w:pStyle w:val="Heading4"/>
        <w:ind w:hanging="0" w:start="0"/>
        <w:rPr/>
      </w:pPr>
      <w:r>
        <w:rPr/>
        <w:t>Document and Information Request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6480" w:leader="none"/>
        </w:tabs>
        <w:outlineLvl w:val="0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6480" w:leader="none"/>
        </w:tabs>
        <w:jc w:val="center"/>
        <w:outlineLvl w:val="0"/>
        <w:rPr>
          <w:b/>
          <w:sz w:val="40"/>
        </w:rPr>
      </w:pPr>
      <w:r>
        <w:rPr>
          <w:b/>
          <w:sz w:val="40"/>
        </w:rPr>
        <w:t>For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6480" w:leader="none"/>
        </w:tabs>
        <w:jc w:val="center"/>
        <w:outlineLvl w:val="0"/>
        <w:rPr>
          <w:b/>
          <w:sz w:val="40"/>
        </w:rPr>
      </w:pPr>
      <w:r>
        <w:rPr>
          <w:b/>
          <w:sz w:val="40"/>
        </w:rPr>
        <w:t>Enron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6480" w:leader="none"/>
        </w:tabs>
        <w:jc w:val="center"/>
        <w:outlineLvl w:val="0"/>
        <w:rPr>
          <w:b/>
          <w:sz w:val="40"/>
        </w:rPr>
      </w:pPr>
      <w:r>
        <w:rPr>
          <w:b/>
          <w:sz w:val="40"/>
        </w:rPr>
        <w:t>Wheatland Facility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Susan Flanagan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Vice President of M&amp;A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DPL Inc.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(937) 258-5506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Fax (937) 259-7386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Email DPLFLAN@Aol.com</w:t>
      </w:r>
      <w:r>
        <w:br w:type="page"/>
      </w:r>
    </w:p>
    <w:p>
      <w:pPr>
        <w:pStyle w:val="Heading2"/>
        <w:numPr>
          <w:ilvl w:val="0"/>
          <w:numId w:val="0"/>
        </w:numPr>
        <w:tabs>
          <w:tab w:val="clear" w:pos="6480"/>
        </w:tabs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3770" w:type="dxa"/>
        <w:jc w:val="start"/>
        <w:tblInd w:w="-24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40"/>
        <w:gridCol w:w="5220"/>
        <w:gridCol w:w="1260"/>
        <w:gridCol w:w="1170"/>
        <w:gridCol w:w="1350"/>
        <w:gridCol w:w="4230"/>
      </w:tblGrid>
      <w:tr>
        <w:trPr>
          <w:tblHeader w:val="true"/>
        </w:trPr>
        <w:tc>
          <w:tcPr>
            <w:tcW w:w="5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2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`</w:t>
            </w:r>
          </w:p>
        </w:tc>
        <w:tc>
          <w:tcPr>
            <w:tcW w:w="52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Management/General</w:t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Requested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Received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423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copies of all contracts and sub-contracts (including all contracts and subcontracts that are currently being negotiated) for the Wheatland facility, including but not limited to, Enron contracts with OEC, interconnection agreements, fuel contracts, maintenance/service contracts, water supply and makeup contracts, etc.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10/17/00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Westinghouse Warranty Documents.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10/17/00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describe the control area and scheduling services provided by Enron affiliate under separate contract.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10/17/00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the lease between Lake Acquisition and West Fork. In addition, provide any drawings, maps and photos associated w/ the lake.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10/17/00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Document 01.02.23 “Easements / Right of Ways”.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Document 01.02.23.10 “Carnahaw Easement”.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the survey by Matthew W. Wannesmuehler of Benardin Lochmueller &amp; Associates”.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Document 01.03.02 “Westinghouse Proposals”.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current Salary and bonus structure, resumes and employment contracts for existing site personnel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any documents regarding leases, ownership, options, etc. for the property adjacent to the facility.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list any litigation or disputes that involve or are a result of the site development/operation or other litigation pending involving the LLCs.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supply details of related party transactions/agreements pertaining to the Wheatland facility including administrative support, gas supply, electric supply and dispatch, environmental services, legal support, technical support, etc.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breakdown of all O&amp;M costs (current year and 3 year forecast) and the methodology used to develop the forecast. Provide any scheduled capital expenditures over the next 3 years.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Provide a schedule of all employee training completed to date and scheduled for the next year.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the IPALCO and Cinergy open access tariffs filed w/ FERC and any supporting documentation indicating status.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2"/>
              </w:numPr>
              <w:snapToGrid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any other power agreement for the facility not included in the Deal Bench data room.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10/18/00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4490" w:type="dxa"/>
        <w:jc w:val="start"/>
        <w:tblInd w:w="-24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40"/>
        <w:gridCol w:w="5310"/>
        <w:gridCol w:w="1170"/>
        <w:gridCol w:w="1080"/>
        <w:gridCol w:w="1440"/>
        <w:gridCol w:w="4950"/>
      </w:tblGrid>
      <w:tr>
        <w:trPr>
          <w:tblHeader w:val="true"/>
        </w:trPr>
        <w:tc>
          <w:tcPr>
            <w:tcW w:w="5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Technical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Requested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Received</w:t>
            </w:r>
          </w:p>
        </w:tc>
        <w:tc>
          <w:tcPr>
            <w:tcW w:w="144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495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</w:rPr>
              <w:t>omments</w:t>
            </w:r>
          </w:p>
        </w:tc>
      </w:tr>
      <w:tr>
        <w:trPr/>
        <w:tc>
          <w:tcPr>
            <w:tcW w:w="5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310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all scheduled maintenance for the next three (3) years.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list of Westinghouse modifications or upgrades for the 501D’s.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ind w:hanging="360" w:start="600" w:end="0"/>
              <w:rPr>
                <w:sz w:val="20"/>
              </w:rPr>
            </w:pPr>
            <w:r>
              <w:rPr>
                <w:sz w:val="20"/>
              </w:rPr>
              <w:t>List of modifications/upgrades that Enron has incorporated, or anticipates incorporating, into the facility.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ind w:hanging="360" w:start="600" w:end="0"/>
              <w:rPr>
                <w:sz w:val="20"/>
              </w:rPr>
            </w:pPr>
            <w:r>
              <w:rPr>
                <w:sz w:val="20"/>
              </w:rPr>
              <w:t xml:space="preserve">ENRON’s plans for mitigating any turbine blade cracking issues associated w/ these machines. 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Please provide any studies conducted toward the expansion of the facility for more simple cycle gas turbines, or toward the conversion of the facility to a combined cycle plant. Please include the Technical and Economic backup.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any Westinghouse bulletins related to the Wheatland facility.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the “Engineering Drawings – Construction Drawings and Plot Plans” and all one-line diagrams of the Power Block and Switchyard.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the startup curves for cold, warm and hot starts for all four units.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information explaining the apparent difference in the output and performance of Unit 3.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 copy of the Oct. 2000 maintenance outage work scope and final outage report.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explain the gas pressure related issues identified in the June Operation Report from C. Norris to M. Robbins dated July 10, 2000.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 xml:space="preserve">Please provide your procedure for storing and handling “critical” spare parts (i.e.; WDPF boards).  Provide your definition for classifying parts as “critical” and your list of “critical” spare parts.  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the following gas pipeline information: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Points of gas receipt used for the site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Has the interruptible contract caused any supply disruptions or problems w/ lack of pressure?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The root cause for the units being inoperable due to pressure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Can the existing gas contracts be assigned to purchaser?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 xml:space="preserve">How does the pipeline treat hourly and daily gas use imbalances?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How much notice is needed for unit startup and shut down?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Can the plant operate w/o a gas nomination?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How much pipeline capacity is available for the facility?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5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Were other pipelines considered for use during the facility planning and development stages? Why were the other pipelines not used (please provide supporting data)?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4490" w:type="dxa"/>
        <w:jc w:val="start"/>
        <w:tblInd w:w="-24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40"/>
        <w:gridCol w:w="5310"/>
        <w:gridCol w:w="1170"/>
        <w:gridCol w:w="1080"/>
        <w:gridCol w:w="1440"/>
        <w:gridCol w:w="4950"/>
      </w:tblGrid>
      <w:tr>
        <w:trPr>
          <w:tblHeader w:val="true"/>
        </w:trPr>
        <w:tc>
          <w:tcPr>
            <w:tcW w:w="5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bottom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Financial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Requested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Received</w:t>
            </w:r>
          </w:p>
        </w:tc>
        <w:tc>
          <w:tcPr>
            <w:tcW w:w="14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495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ind w:end="159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the annual and three (3) year Business Plans, including the additional capital forecasted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  <w:tab w:val="left" w:pos="4110" w:leader="none"/>
                <w:tab w:val="left" w:pos="4290" w:leader="none"/>
                <w:tab w:val="left" w:pos="4650" w:leader="none"/>
                <w:tab w:val="left" w:pos="4980" w:leader="none"/>
              </w:tabs>
              <w:snapToGrid w:val="false"/>
              <w:spacing w:before="0" w:after="58"/>
              <w:ind w:end="51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any analysis of capital cost estimates to determine the feasible of adding combined cycle or additional simple cycle generation to the site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10/17/00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3" w:hRule="atLeast"/>
        </w:trPr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all LLC financial statements, including income statements and balance sheets on a quarterly and annual basis. Please provide monthly management reports.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details of all liabilities of the LLCs as well as any commitments and contingencies or pending litigation, including employee obligations.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What is the station power consumption rate and how much has been paid for this consumption in 2000?  Please provide the monthly cash flows.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684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ind w:end="684"/>
        <w:rPr/>
      </w:pPr>
      <w:r>
        <w:rPr/>
      </w:r>
    </w:p>
    <w:tbl>
      <w:tblPr>
        <w:tblW w:w="14490" w:type="dxa"/>
        <w:jc w:val="start"/>
        <w:tblInd w:w="-24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630"/>
        <w:gridCol w:w="5220"/>
        <w:gridCol w:w="1170"/>
        <w:gridCol w:w="1080"/>
        <w:gridCol w:w="1440"/>
        <w:gridCol w:w="4950"/>
      </w:tblGrid>
      <w:tr>
        <w:trPr>
          <w:tblHeader w:val="true"/>
        </w:trPr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b/>
                <w:sz w:val="20"/>
              </w:rPr>
            </w:pPr>
            <w:r>
              <w:rPr>
                <w:b/>
                <w:sz w:val="20"/>
              </w:rPr>
              <w:t>4.0</w:t>
            </w:r>
          </w:p>
        </w:tc>
        <w:tc>
          <w:tcPr>
            <w:tcW w:w="52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bottom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Environmental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Requested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Received</w:t>
            </w:r>
          </w:p>
        </w:tc>
        <w:tc>
          <w:tcPr>
            <w:tcW w:w="144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495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F2F2F2" w:val="clear"/>
            <w:vAlign w:val="cente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emission profiles with and without evaporative cooling, at load ranges of 0 – 100% (in 5% increments) at ambient temperatures of –15, -5, 5, 15, 25, 35, 45, 55, 65, 75, 85, and 95 degrees F, that include the #/hr and ppmvd of NOx CO, SO2, VOC, and particulates, as adjusted for site elevation.  Emission profiles should also include output, heat rate, exhaust flow, exhaust temp.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emissions compliance testing conducted in accordance with NSPS and Permit to Construct and any emissions testing to validate equipment warranties.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plant monitoring data for fuel nitrogen and sulfur content.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water-to-fuel ratio data during all operating hours.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Title 5 application submitted to IDEM.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Phase II Acid Rain Application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results of CEM certification.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explanation of stack gas stratification issues.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NOx, CO2 and CO CEM reports for all operating hours, including ppm, #/hr, #/mmBtu and cumulative TPY.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CEM Standard Operating Procedures and QA/QC manual.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information on initiation of water injection after startup (i.e. when water injection can be safely initiated).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Preventive Maintenance Plan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Compliance Response Plan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SPCC Plan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Affidavit of Construction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Operation Permit Validation letter.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explanation of revision to the Permit to Construct dated 3-13-00.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potable water supply agreement.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4.19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any data on local water supplies, including well logs of local wells.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copies of any Phase II environmental assessments conducted on any properties included in this transaction.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4.21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detail on any zoning restrictions related to stack height or noise.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water quality analyses of water withdrawn from lake.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4.23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water quality control procedures, including methods for pH and conductivity adjustments.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4.24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explanation of raw water filtering requirements, prior to demineralization.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4.25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custom schedule request to USEPA.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4.26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costs associated with operation and maintenance of CEMs including annual RATA testing, calibration gases, spare parts, etc.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4.27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contract with Ecolochem for demineralization of water.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4.28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copy of CEM warranty agreement with CISCO.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4.29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determination of SARA reporting requirements under 311 and 312.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explanation of need for a mercaptan  odorizing station.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copies of any hydrologic studies performed at the associated properties.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4.32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schedule of all environmental, health and safety required training and associated procedures.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maximum water withdrawal rates from the lake reservoir and explain any limitations.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4.34</w:t>
            </w:r>
          </w:p>
        </w:tc>
        <w:tc>
          <w:tcPr>
            <w:tcW w:w="5220" w:type="dxa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the attachments to Section 3 of the Monitoring Plan, including the natural gas sulfur content documentation and flue flow meter documentation.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6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4.35</w:t>
            </w:r>
          </w:p>
        </w:tc>
        <w:tc>
          <w:tcPr>
            <w:tcW w:w="5220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>Please provide information of the CO CEM system, including equipment and calculation method.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-120" w:leader="none"/>
                <w:tab w:val="left" w:pos="240" w:leader="none"/>
                <w:tab w:val="left" w:pos="510" w:leader="none"/>
                <w:tab w:val="left" w:pos="2160" w:leader="none"/>
              </w:tabs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  <w:t>10/18/00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QuickA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95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-120" w:leader="none"/>
                <w:tab w:val="left" w:pos="720" w:leader="none"/>
              </w:tabs>
              <w:snapToGrid w:val="false"/>
              <w:spacing w:before="0" w:after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684"/>
        <w:rPr>
          <w:sz w:val="20"/>
        </w:rPr>
      </w:pPr>
      <w:r>
        <w:rPr>
          <w:sz w:val="20"/>
        </w:rPr>
      </w:r>
    </w:p>
    <w:sectPr>
      <w:type w:val="continuous"/>
      <w:pgSz w:orient="landscape" w:w="15840" w:h="12240"/>
      <w:pgMar w:left="1008" w:right="1008" w:gutter="0" w:header="72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6480" w:leader="none"/>
        <w:tab w:val="right" w:pos="9360" w:leader="none"/>
      </w:tabs>
      <w:rPr>
        <w:sz w:val="20"/>
      </w:rPr>
    </w:pPr>
    <w:r>
      <w:rPr>
        <w:sz w:val="20"/>
      </w:rPr>
      <w:t>Status Legend:  A = Actual date received, P = Partial Response Received</w:t>
    </w:r>
  </w:p>
  <w:p>
    <w:pPr>
      <w:pStyle w:val="Normal"/>
      <w:tabs>
        <w:tab w:val="clear" w:pos="720"/>
        <w:tab w:val="left" w:pos="6480" w:leader="none"/>
        <w:tab w:val="right" w:pos="9360" w:leader="none"/>
      </w:tabs>
      <w:rPr>
        <w:sz w:val="20"/>
      </w:rPr>
    </w:pPr>
    <w:r>
      <w:rPr>
        <w:sz w:val="20"/>
      </w:rPr>
    </w:r>
  </w:p>
  <w:p>
    <w:pPr>
      <w:pStyle w:val="Normal"/>
      <w:tabs>
        <w:tab w:val="clear" w:pos="720"/>
        <w:tab w:val="left" w:pos="6480" w:leader="none"/>
        <w:tab w:val="right" w:pos="9360" w:leader="none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DocReq_001013b.doc</w:t>
    </w:r>
    <w:r>
      <w:rPr>
        <w:sz w:val="20"/>
      </w:rPr>
      <w:fldChar w:fldCharType="end"/>
    </w:r>
  </w:p>
  <w:p>
    <w:pPr>
      <w:pStyle w:val="Normal"/>
      <w:tabs>
        <w:tab w:val="clear" w:pos="720"/>
        <w:tab w:val="left" w:pos="6480" w:leader="none"/>
        <w:tab w:val="right" w:pos="9360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DATE \@"MM\/dd\/yy" </w:instrText>
    </w:r>
    <w:r>
      <w:rPr>
        <w:sz w:val="20"/>
      </w:rPr>
      <w:fldChar w:fldCharType="separate"/>
    </w:r>
    <w:r>
      <w:rPr>
        <w:sz w:val="20"/>
      </w:rPr>
      <w:t>09/28/25</w:t>
    </w:r>
    <w:r>
      <w:rPr>
        <w:sz w:val="20"/>
      </w:rPr>
      <w:fldChar w:fldCharType="end"/>
    </w:r>
    <w:r>
      <w:rPr>
        <w:sz w:val="20"/>
      </w:rPr>
      <w:tab/>
      <w:t xml:space="preserve">-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and Proprietary</w:t>
    </w:r>
  </w:p>
  <w:p>
    <w:pPr>
      <w:pStyle w:val="Header"/>
      <w:jc w:val="end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lvlText w:val="1.%1"/>
      <w:lvlJc w:val="start"/>
      <w:pPr>
        <w:tabs>
          <w:tab w:val="num" w:pos="360"/>
        </w:tabs>
        <w:ind w:start="0" w:hanging="0"/>
      </w:pPr>
    </w:lvl>
  </w:abstractNum>
  <w:abstractNum w:abstractNumId="3">
    <w:lvl w:ilvl="0">
      <w:numFmt w:val="decimal"/>
      <w:lvlText w:val="3.%1"/>
      <w:lvlJc w:val="start"/>
      <w:pPr>
        <w:tabs>
          <w:tab w:val="num" w:pos="360"/>
        </w:tabs>
        <w:ind w:start="0" w:hanging="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numFmt w:val="decimal"/>
      <w:lvlText w:val="2.%1"/>
      <w:lvlJc w:val="start"/>
      <w:pPr>
        <w:tabs>
          <w:tab w:val="num" w:pos="360"/>
        </w:tabs>
        <w:ind w:start="0" w:hanging="0"/>
      </w:pPr>
    </w:lvl>
  </w:abstractNum>
  <w:abstractNum w:abstractNumId="6">
    <w:lvl w:ilvl="0">
      <w:numFmt w:val="decimal"/>
      <w:lvlText w:val="0.%1"/>
      <w:lvlJc w:val="start"/>
      <w:pPr>
        <w:tabs>
          <w:tab w:val="num" w:pos="720"/>
        </w:tabs>
        <w:ind w:start="0" w:hanging="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1260" w:start="9360" w:end="-99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center" w:pos="6480" w:leader="none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1260" w:start="9360" w:end="0"/>
      <w:jc w:val="both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-1440" w:leader="none"/>
        <w:tab w:val="left" w:pos="-720" w:leader="none"/>
        <w:tab w:val="left" w:pos="-120" w:leader="none"/>
        <w:tab w:val="left" w:pos="720" w:leader="none"/>
      </w:tabs>
      <w:spacing w:before="0" w:after="58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-1440" w:leader="none"/>
        <w:tab w:val="left" w:pos="-720" w:leader="none"/>
        <w:tab w:val="left" w:pos="-120" w:leader="none"/>
        <w:tab w:val="left" w:pos="720" w:leader="none"/>
      </w:tabs>
      <w:ind w:hanging="5040" w:start="5760" w:end="0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-1440" w:leader="none"/>
        <w:tab w:val="left" w:pos="-720" w:leader="none"/>
        <w:tab w:val="left" w:pos="-120" w:leader="none"/>
        <w:tab w:val="left" w:pos="720" w:leader="none"/>
      </w:tabs>
      <w:spacing w:before="0" w:after="58"/>
      <w:jc w:val="center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20"/>
        <w:tab w:val="center" w:pos="6480" w:leader="none"/>
      </w:tabs>
      <w:outlineLvl w:val="8"/>
    </w:pPr>
    <w:rPr>
      <w:b/>
      <w:sz w:val="28"/>
    </w:rPr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1z0">
    <w:name w:val="WW8Num1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4z0">
    <w:name w:val="WW8Num2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1440" w:leader="none"/>
        <w:tab w:val="left" w:pos="-720" w:leader="none"/>
        <w:tab w:val="left" w:pos="-120" w:leader="none"/>
        <w:tab w:val="left" w:pos="240" w:leader="none"/>
        <w:tab w:val="left" w:pos="510" w:leader="none"/>
        <w:tab w:val="left" w:pos="2160" w:leader="none"/>
      </w:tabs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QuickA">
    <w:name w:val="Quick A."/>
    <w:basedOn w:val="Normal"/>
    <w:qFormat/>
    <w:pPr>
      <w:numPr>
        <w:ilvl w:val="0"/>
        <w:numId w:val="6"/>
      </w:numPr>
    </w:pPr>
    <w:rPr/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  <w:tab w:val="left" w:pos="-720" w:leader="none"/>
        <w:tab w:val="left" w:pos="-120" w:leader="none"/>
        <w:tab w:val="left" w:pos="240" w:leader="none"/>
        <w:tab w:val="left" w:pos="510" w:leader="none"/>
        <w:tab w:val="left" w:pos="2160" w:leader="none"/>
      </w:tabs>
      <w:ind w:hanging="270" w:start="51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2000-10-18T19:08:00Z</dcterms:created>
  <dc:creator>James D. Kopp</dc:creator>
  <dc:description/>
  <dc:language>en-CA</dc:language>
  <cp:lastModifiedBy>Dayton Power and Light</cp:lastModifiedBy>
  <cp:lastPrinted>2000-10-18T17:25:00Z</cp:lastPrinted>
  <dcterms:modified xsi:type="dcterms:W3CDTF">2000-10-18T20:50:00Z</dcterms:modified>
  <cp:revision>5</cp:revision>
  <dc:subject/>
  <dc:title>Draft</dc:title>
</cp:coreProperties>
</file>