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Document Control Investigation</w:t>
        <w:tab/>
        <w:tab/>
        <w:t xml:space="preserve">            </w:t>
        <w:tab/>
      </w:r>
      <w:r>
        <w:rPr>
          <w:i/>
          <w:sz w:val="40"/>
        </w:rPr>
        <w:t>DRAFT</w:t>
      </w:r>
    </w:p>
    <w:p>
      <w:pPr>
        <w:pStyle w:val="Heading1"/>
        <w:ind w:hanging="0" w:start="0"/>
        <w:rPr/>
      </w:pPr>
      <w:r>
        <w:rPr/>
        <w:t>Report of Findings</w:t>
      </w:r>
    </w:p>
    <w:p>
      <w:pPr>
        <w:pStyle w:val="Heading1"/>
        <w:ind w:hanging="0" w:start="0"/>
        <w:rPr/>
      </w:pPr>
      <w:r>
        <w:rPr/>
      </w:r>
    </w:p>
    <w:p>
      <w:pPr>
        <w:pStyle w:val="Normal"/>
        <w:rPr>
          <w:b/>
        </w:rPr>
      </w:pPr>
      <w:r>
        <w:rPr>
          <w:b/>
        </w:rPr>
        <w:t>Project Sponsors:  Drew Fossum, Julia White</w:t>
      </w:r>
    </w:p>
    <w:p>
      <w:pPr>
        <w:pStyle w:val="Normal"/>
        <w:rPr>
          <w:b/>
        </w:rPr>
      </w:pPr>
      <w:r>
        <w:rPr>
          <w:b/>
        </w:rPr>
        <w:t>Sponsorship Team:  Dari Dornan, Maria Pavlou, Rick Dietz, Sheila Nacey</w:t>
      </w:r>
    </w:p>
    <w:p>
      <w:pPr>
        <w:pStyle w:val="Normal"/>
        <w:rPr>
          <w:b/>
        </w:rPr>
      </w:pPr>
      <w:r>
        <w:rPr>
          <w:b/>
        </w:rPr>
        <w:t>Business Consultant:  Sarabeth Smith</w:t>
      </w:r>
    </w:p>
    <w:p>
      <w:pPr>
        <w:pStyle w:val="Normal"/>
        <w:rPr>
          <w:b/>
        </w:rPr>
      </w:pPr>
      <w:r>
        <w:rPr>
          <w:b/>
        </w:rPr>
        <w:t>Date:  January 5, 2000</w:t>
      </w:r>
    </w:p>
    <w:p>
      <w:pPr>
        <w:pStyle w:val="Normal"/>
        <w:rPr>
          <w:b/>
        </w:rPr>
      </w:pPr>
      <w:r>
        <w:rPr>
          <w:b/>
        </w:rPr>
      </w:r>
    </w:p>
    <w:p>
      <w:pPr>
        <w:pStyle w:val="Heading1"/>
        <w:ind w:hanging="0" w:start="0"/>
        <w:rPr/>
      </w:pPr>
      <w:r>
        <w:rPr/>
        <w:t>Project Scope</w:t>
      </w:r>
    </w:p>
    <w:p>
      <w:pPr>
        <w:pStyle w:val="Normal"/>
        <w:numPr>
          <w:ilvl w:val="0"/>
          <w:numId w:val="5"/>
        </w:numPr>
        <w:rPr/>
      </w:pPr>
      <w:r>
        <w:rPr/>
        <w:t>Investigate the current policies and procedures governing the administration of contracts and pertinent documents and how effective these policies and procedures are at meeting the needs of ET&amp;S now and in the future</w:t>
      </w:r>
    </w:p>
    <w:p>
      <w:pPr>
        <w:pStyle w:val="Normal"/>
        <w:numPr>
          <w:ilvl w:val="0"/>
          <w:numId w:val="5"/>
        </w:numPr>
        <w:rPr/>
      </w:pPr>
      <w:r>
        <w:rPr/>
        <w:t>Investigate whether all executed original versions of contracts are being sent to corporate records</w:t>
      </w:r>
    </w:p>
    <w:p>
      <w:pPr>
        <w:pStyle w:val="Normal"/>
        <w:numPr>
          <w:ilvl w:val="0"/>
          <w:numId w:val="5"/>
        </w:numPr>
        <w:rPr/>
      </w:pPr>
      <w:r>
        <w:rPr/>
        <w:t>Investigate the accessibility to documents by employee’s who have a need for the information</w:t>
      </w:r>
    </w:p>
    <w:p>
      <w:pPr>
        <w:pStyle w:val="Normal"/>
        <w:numPr>
          <w:ilvl w:val="0"/>
          <w:numId w:val="5"/>
        </w:numPr>
        <w:rPr/>
      </w:pPr>
      <w:r>
        <w:rPr/>
        <w:t>Investigate any barriers that exist to readily accessing the information in a timely manner to meet employees’ business needs</w:t>
      </w:r>
    </w:p>
    <w:p>
      <w:pPr>
        <w:pStyle w:val="Normal"/>
        <w:rPr/>
      </w:pPr>
      <w:r>
        <w:rPr/>
      </w:r>
    </w:p>
    <w:p>
      <w:pPr>
        <w:pStyle w:val="Heading1"/>
        <w:ind w:hanging="0" w:start="0"/>
        <w:rPr/>
      </w:pPr>
      <w:r>
        <w:rPr/>
        <w:t>Project Plan/Steps</w:t>
      </w:r>
    </w:p>
    <w:p>
      <w:pPr>
        <w:pStyle w:val="Normal"/>
        <w:numPr>
          <w:ilvl w:val="0"/>
          <w:numId w:val="8"/>
        </w:numPr>
        <w:rPr/>
      </w:pPr>
      <w:r>
        <w:rPr/>
        <w:t>Determine the types of contracts and pertinent documents that have been and will be put in place for ET&amp;S’ business</w:t>
      </w:r>
    </w:p>
    <w:p>
      <w:pPr>
        <w:pStyle w:val="Normal"/>
        <w:numPr>
          <w:ilvl w:val="0"/>
          <w:numId w:val="8"/>
        </w:numPr>
        <w:rPr/>
      </w:pPr>
      <w:r>
        <w:rPr/>
        <w:t>Interview employees about the current policies and procedures governing contracts and pertinent documents</w:t>
      </w:r>
    </w:p>
    <w:p>
      <w:pPr>
        <w:pStyle w:val="Normal"/>
        <w:numPr>
          <w:ilvl w:val="0"/>
          <w:numId w:val="8"/>
        </w:numPr>
        <w:rPr/>
      </w:pPr>
      <w:r>
        <w:rPr/>
        <w:t xml:space="preserve">Interview employees about what works well currently and what could be improved </w:t>
      </w:r>
    </w:p>
    <w:p>
      <w:pPr>
        <w:pStyle w:val="Normal"/>
        <w:numPr>
          <w:ilvl w:val="0"/>
          <w:numId w:val="8"/>
        </w:numPr>
        <w:rPr/>
      </w:pPr>
      <w:r>
        <w:rPr/>
        <w:t xml:space="preserve">Interview employees about changes in contracting or documents in the future that would need to be incorporated in this investigation </w:t>
      </w:r>
    </w:p>
    <w:p>
      <w:pPr>
        <w:pStyle w:val="Normal"/>
        <w:numPr>
          <w:ilvl w:val="0"/>
          <w:numId w:val="8"/>
        </w:numPr>
        <w:rPr/>
      </w:pPr>
      <w:r>
        <w:rPr/>
        <w:t>Ask employees for input on potential improvements to the process</w:t>
      </w:r>
    </w:p>
    <w:p>
      <w:pPr>
        <w:pStyle w:val="Normal"/>
        <w:rPr/>
      </w:pPr>
      <w:r>
        <w:rPr/>
      </w:r>
    </w:p>
    <w:p>
      <w:pPr>
        <w:pStyle w:val="Heading1"/>
        <w:ind w:hanging="0" w:start="0"/>
        <w:rPr/>
      </w:pPr>
      <w:r>
        <w:rPr/>
        <w:t>Findings</w:t>
      </w:r>
    </w:p>
    <w:p>
      <w:pPr>
        <w:pStyle w:val="Normal"/>
        <w:numPr>
          <w:ilvl w:val="0"/>
          <w:numId w:val="11"/>
        </w:numPr>
        <w:rPr/>
      </w:pPr>
      <w:r>
        <w:rPr>
          <w:b/>
          <w:i/>
        </w:rPr>
        <w:t>What are the current policies and procedures governing the administration of contracts and agreements (hereafter referred to as agreements) for ET&amp;S? How effective are the policies?</w:t>
      </w:r>
      <w:r>
        <w:rPr/>
        <w:t xml:space="preserve">  </w:t>
      </w:r>
    </w:p>
    <w:p>
      <w:pPr>
        <w:pStyle w:val="Normal"/>
        <w:numPr>
          <w:ilvl w:val="0"/>
          <w:numId w:val="7"/>
        </w:numPr>
        <w:tabs>
          <w:tab w:val="left" w:pos="720" w:leader="none"/>
        </w:tabs>
        <w:ind w:hanging="360" w:start="720" w:end="0"/>
        <w:rPr/>
      </w:pPr>
      <w:r>
        <w:rPr/>
        <w:t xml:space="preserve">There are several common groupings of agreements: </w:t>
      </w:r>
    </w:p>
    <w:p>
      <w:pPr>
        <w:pStyle w:val="Normal"/>
        <w:numPr>
          <w:ilvl w:val="0"/>
          <w:numId w:val="14"/>
        </w:numPr>
        <w:tabs>
          <w:tab w:val="clear" w:pos="720"/>
          <w:tab w:val="left" w:pos="1080" w:leader="none"/>
        </w:tabs>
        <w:ind w:hanging="360" w:start="1080" w:end="0"/>
        <w:rPr/>
      </w:pPr>
      <w:r>
        <w:rPr/>
        <w:t>Standard service agreements and amendments for transportation and storage, supporting ongoing commercial customer relationships</w:t>
      </w:r>
    </w:p>
    <w:p>
      <w:pPr>
        <w:pStyle w:val="Normal"/>
        <w:numPr>
          <w:ilvl w:val="0"/>
          <w:numId w:val="14"/>
        </w:numPr>
        <w:tabs>
          <w:tab w:val="clear" w:pos="720"/>
          <w:tab w:val="left" w:pos="1080" w:leader="none"/>
        </w:tabs>
        <w:ind w:hanging="360" w:start="1080" w:end="0"/>
        <w:rPr/>
      </w:pPr>
      <w:r>
        <w:rPr/>
        <w:t>Non-standard transportation and storage agreements with commercial customers created and routed through the contract systems</w:t>
      </w:r>
    </w:p>
    <w:p>
      <w:pPr>
        <w:pStyle w:val="Normal"/>
        <w:numPr>
          <w:ilvl w:val="0"/>
          <w:numId w:val="14"/>
        </w:numPr>
        <w:tabs>
          <w:tab w:val="clear" w:pos="720"/>
          <w:tab w:val="left" w:pos="1080" w:leader="none"/>
        </w:tabs>
        <w:ind w:hanging="360" w:start="1080" w:end="0"/>
        <w:rPr/>
      </w:pPr>
      <w:r>
        <w:rPr/>
        <w:t xml:space="preserve">Non-standard agreements with commercial customers, particularly precedent agreements, sidebar letter agreements, storage balancing agreements, facility agreements, interconnect agreements, asset purchase agreements, settlements, letters of intent, etc…created outside of the contract systems </w:t>
      </w:r>
    </w:p>
    <w:p>
      <w:pPr>
        <w:pStyle w:val="Normal"/>
        <w:numPr>
          <w:ilvl w:val="0"/>
          <w:numId w:val="14"/>
        </w:numPr>
        <w:tabs>
          <w:tab w:val="clear" w:pos="720"/>
          <w:tab w:val="left" w:pos="1080" w:leader="none"/>
        </w:tabs>
        <w:ind w:hanging="360" w:start="1080" w:end="0"/>
        <w:rPr/>
      </w:pPr>
      <w:r>
        <w:rPr/>
        <w:t xml:space="preserve">Non-standard agreements with non-commercial customers that do not fit above categories, namely: confidentiality agreements, ownership, operation, and maintenance agreements for joint venture facilities, interconnect agreements, asset purchase agreements, letters of intent, etc…created outside of the contract systems </w:t>
      </w:r>
    </w:p>
    <w:p>
      <w:pPr>
        <w:pStyle w:val="Normal"/>
        <w:numPr>
          <w:ilvl w:val="0"/>
          <w:numId w:val="17"/>
        </w:numPr>
        <w:tabs>
          <w:tab w:val="left" w:pos="720" w:leader="none"/>
        </w:tabs>
        <w:ind w:hanging="360" w:start="720" w:end="0"/>
        <w:rPr/>
      </w:pPr>
      <w:r>
        <w:rPr/>
        <w:t>For all standard and non-standard agreements routed through the Contract Management System (CMS) for NNG described in groups (a) and (b) above, the current policy as recognized by employees is that any agreement that is to be serviced (nominated, scheduled, billed, etc…) by the Market Services group is coordinated through or forwarded to the Contract Administration group for handling.  This primarily includes the standard transportation and storage agreements and amendments and non-standard agreements created by the CMS system.  For these agreements, the Contract Administration group utilizes the CMS system to create and route the agreements. The CMS system tracks the routing of the agreements, assigns a contract number, retains briefed information about the agreements, and retains the initial electronic form of the agreement.  Additionally, the Contract Administration group forwards the executed originals to Corporate Records (Cynthia Mangels), creates a file with a copy of the executed agreement and places a copy of the agreement in the file room on the 41</w:t>
      </w:r>
      <w:r>
        <w:rPr>
          <w:vertAlign w:val="superscript"/>
        </w:rPr>
        <w:t>st</w:t>
      </w:r>
      <w:r>
        <w:rPr/>
        <w:t xml:space="preserve"> floor. </w:t>
      </w:r>
    </w:p>
    <w:p>
      <w:pPr>
        <w:pStyle w:val="Normal"/>
        <w:numPr>
          <w:ilvl w:val="0"/>
          <w:numId w:val="17"/>
        </w:numPr>
        <w:tabs>
          <w:tab w:val="left" w:pos="720" w:leader="none"/>
        </w:tabs>
        <w:ind w:hanging="360" w:start="720" w:end="0"/>
        <w:rPr/>
      </w:pPr>
      <w:r>
        <w:rPr/>
        <w:t>For Transwestern, new standard agreements are prepared by Contract Administration utilizing the Contract Billing System (CBS) and then forwarded to the Transwestern Commercial Team (TWCT).  The TWCT team works with Legal to create the discount letter to accompany the agreement and then works with the counter party to have the agreement executed.  The executed agreement is then forwarded to Contract Administration where the agreement is turned on in the CBS system to indicate that volumes can now flow under the agreement, a contract file using the CBS system generated contract number is created and filed in the 41</w:t>
      </w:r>
      <w:r>
        <w:rPr>
          <w:vertAlign w:val="superscript"/>
        </w:rPr>
        <w:t>st</w:t>
      </w:r>
      <w:r>
        <w:rPr/>
        <w:t xml:space="preserve"> floor file room, and the executed original is sent to Corporate Records. </w:t>
      </w:r>
    </w:p>
    <w:p>
      <w:pPr>
        <w:pStyle w:val="Normal"/>
        <w:numPr>
          <w:ilvl w:val="0"/>
          <w:numId w:val="17"/>
        </w:numPr>
        <w:tabs>
          <w:tab w:val="left" w:pos="720" w:leader="none"/>
        </w:tabs>
        <w:ind w:hanging="360" w:start="720" w:end="0"/>
        <w:rPr/>
      </w:pPr>
      <w:r>
        <w:rPr/>
        <w:t xml:space="preserve">For all other non-standard agreements for both NNG and TW described in agreement groups (c) and (d) above, which are not created or routed through the CMS (for NNG) or CBS (for TW) systems, there is no stated process or policy accessible to the organization to guide them in the handling of these documents. </w:t>
      </w:r>
    </w:p>
    <w:p>
      <w:pPr>
        <w:pStyle w:val="Normal"/>
        <w:numPr>
          <w:ilvl w:val="0"/>
          <w:numId w:val="17"/>
        </w:numPr>
        <w:tabs>
          <w:tab w:val="left" w:pos="720" w:leader="none"/>
        </w:tabs>
        <w:ind w:hanging="360" w:start="720" w:end="0"/>
        <w:rPr/>
      </w:pPr>
      <w:r>
        <w:rPr/>
        <w:t>It has been difficult in the past to secure funding for modifications to the contract systems which has forced some standard language agreements into a non-standard language agreement with a more cumbersome routing procedure.</w:t>
      </w:r>
    </w:p>
    <w:p>
      <w:pPr>
        <w:pStyle w:val="Normal"/>
        <w:numPr>
          <w:ilvl w:val="0"/>
          <w:numId w:val="17"/>
        </w:numPr>
        <w:tabs>
          <w:tab w:val="left" w:pos="720" w:leader="none"/>
        </w:tabs>
        <w:ind w:hanging="360" w:start="720" w:end="0"/>
        <w:rPr/>
      </w:pPr>
      <w:r>
        <w:rPr/>
        <w:t>Additionally, to bypass the non-standard routing procedure, the Account Managers will sometimes structure an agreement with a term of less than one year with monthly rollovers in order to avoid the non-standard routing process, avoiding a delay of as long as three weeks for approvals.</w:t>
      </w:r>
    </w:p>
    <w:p>
      <w:pPr>
        <w:pStyle w:val="Normal"/>
        <w:numPr>
          <w:ilvl w:val="0"/>
          <w:numId w:val="11"/>
        </w:numPr>
        <w:rPr>
          <w:b/>
          <w:i/>
          <w:i/>
        </w:rPr>
      </w:pPr>
      <w:r>
        <w:rPr>
          <w:b/>
          <w:i/>
        </w:rPr>
        <w:t>How effective are the current policies and procedures in retaining the agreements in an organized, accessible and secure manner?  Are all executed originals being sent to Corporate Records?</w:t>
      </w:r>
    </w:p>
    <w:p>
      <w:pPr>
        <w:pStyle w:val="Normal"/>
        <w:numPr>
          <w:ilvl w:val="0"/>
          <w:numId w:val="7"/>
        </w:numPr>
        <w:tabs>
          <w:tab w:val="left" w:pos="720" w:leader="none"/>
        </w:tabs>
        <w:ind w:hanging="360" w:start="720" w:end="0"/>
        <w:rPr/>
      </w:pPr>
      <w:r>
        <w:rPr/>
        <w:t xml:space="preserve">The transportation and storage agreements described in groups (a) and (b) above have all been given a number and recorded in the CMS and CBS systems. A strict procedure has been followed by Contract Administration to send original, executed agreements to Corporate Records and place a file folder with a copy of the agreement and any correspondence in the Houston file room, however, there is a problem with keeping the files in the file room.  Since there is no one in the file room keeping an eye on the files, the files are commonly removed without checkout cards being left.  It is not uncommon to look for a file that should be in the file room and have it not be available.   </w:t>
      </w:r>
    </w:p>
    <w:p>
      <w:pPr>
        <w:pStyle w:val="Normal"/>
        <w:numPr>
          <w:ilvl w:val="0"/>
          <w:numId w:val="17"/>
        </w:numPr>
        <w:tabs>
          <w:tab w:val="left" w:pos="720" w:leader="none"/>
        </w:tabs>
        <w:ind w:hanging="360" w:start="720" w:end="0"/>
        <w:rPr/>
      </w:pPr>
      <w:r>
        <w:rPr/>
        <w:t>For the non-standard agreements described in groups (c) and (d) above that are not routed in the CMS or CBS systems, these agreements have not been given a contract number or logged into any system to record their existence nor is there a central file repository for copies of the agreements. The procedure for the handling of these documents is left up to the individual responsible for working with the counter party to decide.  Many, but not all, employees understand that original, executed documents should be sent to Corporate Records, so there is no guarantee that Corporate Records has all originals. With no central, secure file room, accessing these agreements has become very difficult.  It appears that the copies of the agreements generally reside in a customer or project file with a variety of other documents.</w:t>
      </w:r>
    </w:p>
    <w:p>
      <w:pPr>
        <w:pStyle w:val="Normal"/>
        <w:numPr>
          <w:ilvl w:val="0"/>
          <w:numId w:val="7"/>
        </w:numPr>
        <w:tabs>
          <w:tab w:val="left" w:pos="720" w:leader="none"/>
        </w:tabs>
        <w:ind w:hanging="360" w:start="720" w:end="0"/>
        <w:rPr/>
      </w:pPr>
      <w:r>
        <w:rPr/>
        <w:t xml:space="preserve">Additionally, there is no published and regularly maintained list of who to send copies of contracts to (i.e.-Certificates needs a copy of facility agreements).  </w:t>
      </w:r>
    </w:p>
    <w:p>
      <w:pPr>
        <w:pStyle w:val="Normal"/>
        <w:numPr>
          <w:ilvl w:val="0"/>
          <w:numId w:val="11"/>
        </w:numPr>
        <w:rPr>
          <w:b/>
          <w:i/>
          <w:i/>
        </w:rPr>
      </w:pPr>
      <w:r>
        <w:rPr>
          <w:b/>
          <w:i/>
        </w:rPr>
        <w:t>What attempts have been made in the past to address the contract accessibility  issue?</w:t>
      </w:r>
    </w:p>
    <w:p>
      <w:pPr>
        <w:pStyle w:val="Normal"/>
        <w:numPr>
          <w:ilvl w:val="0"/>
          <w:numId w:val="13"/>
        </w:numPr>
        <w:tabs>
          <w:tab w:val="left" w:pos="720" w:leader="none"/>
        </w:tabs>
        <w:ind w:hanging="360" w:start="720" w:end="0"/>
        <w:rPr>
          <w:b/>
          <w:i/>
          <w:i/>
        </w:rPr>
      </w:pPr>
      <w:r>
        <w:rPr/>
        <w:t>Several years ago, the Contract Process Reengineering effort was undertaken to develop the deal sheet process and address several barriers concerning agreements.  One of the policy changes recommended during this effort was to centralize the confidential, sidebar letter agreements for firm transportation deals in a locked file cabinet with controlled access.  The guideline apparently was never instituted and/or did not become part of the working process.</w:t>
      </w:r>
    </w:p>
    <w:p>
      <w:pPr>
        <w:pStyle w:val="Normal"/>
        <w:numPr>
          <w:ilvl w:val="0"/>
          <w:numId w:val="13"/>
        </w:numPr>
        <w:tabs>
          <w:tab w:val="left" w:pos="720" w:leader="none"/>
        </w:tabs>
        <w:ind w:hanging="360" w:start="720" w:end="0"/>
        <w:rPr>
          <w:b/>
          <w:i/>
          <w:i/>
        </w:rPr>
      </w:pPr>
      <w:r>
        <w:rPr/>
        <w:t>Today, NNG’s south end group has no problem with accessing any of their agreements due to the fact that they maintain their own set of agreement files, which are closely held as working files by the Pricing Desk.  Additionally, the TWCT team also duplicates the file room by having copies of agreements in a central drawer because they cannot rely on the agreement being in the file room when needed.</w:t>
      </w:r>
    </w:p>
    <w:p>
      <w:pPr>
        <w:pStyle w:val="Normal"/>
        <w:numPr>
          <w:ilvl w:val="0"/>
          <w:numId w:val="11"/>
        </w:numPr>
        <w:rPr>
          <w:b/>
          <w:i/>
          <w:i/>
        </w:rPr>
      </w:pPr>
      <w:r>
        <w:rPr>
          <w:b/>
          <w:i/>
        </w:rPr>
        <w:t>What business drivers would indicate that a change in operation is needed for the future?</w:t>
      </w:r>
    </w:p>
    <w:p>
      <w:pPr>
        <w:pStyle w:val="Normal"/>
        <w:numPr>
          <w:ilvl w:val="0"/>
          <w:numId w:val="2"/>
        </w:numPr>
        <w:tabs>
          <w:tab w:val="left" w:pos="720" w:leader="none"/>
        </w:tabs>
        <w:ind w:hanging="360" w:start="720" w:end="0"/>
        <w:rPr/>
      </w:pPr>
      <w:r>
        <w:rPr/>
        <w:t xml:space="preserve">Several business drivers are causing a need for a change in the document handling process: </w:t>
      </w:r>
    </w:p>
    <w:p>
      <w:pPr>
        <w:pStyle w:val="Normal"/>
        <w:numPr>
          <w:ilvl w:val="0"/>
          <w:numId w:val="10"/>
        </w:numPr>
        <w:tabs>
          <w:tab w:val="clear" w:pos="720"/>
          <w:tab w:val="left" w:pos="1080" w:leader="none"/>
        </w:tabs>
        <w:ind w:hanging="360" w:start="1080" w:end="0"/>
        <w:rPr/>
      </w:pPr>
      <w:r>
        <w:rPr/>
        <w:t xml:space="preserve">A primary driver is the increased competition and undermining of profitability by trading companies in the marketplace.  ET&amp;S is responding to this challenge by undergoing the Risk Book and Revenue Management projects to improve its ability to compete profitably in the increasingly more liquid natural gas markets.  This in turn is causing a need for more detailed information from the agreements than is captured in the CMS and CAS systems, particularly information concerning optionality held by either ET&amp;S or the customer. </w:t>
      </w:r>
    </w:p>
    <w:p>
      <w:pPr>
        <w:pStyle w:val="Normal"/>
        <w:numPr>
          <w:ilvl w:val="0"/>
          <w:numId w:val="10"/>
        </w:numPr>
        <w:tabs>
          <w:tab w:val="clear" w:pos="720"/>
          <w:tab w:val="left" w:pos="1080" w:leader="none"/>
        </w:tabs>
        <w:ind w:hanging="360" w:start="1080" w:end="0"/>
        <w:rPr/>
      </w:pPr>
      <w:r>
        <w:rPr/>
        <w:t xml:space="preserve">Secondly, a general focus by the organization on customer profitability and customer satisfaction with a recognized need to focus on the profitability customers bring to ET&amp;S and how to capture that profitability in the future as the customer’s business changes.  Through Revenue Management, ET&amp;S is making market and customer information and analyses more readily available to the commercial and commercial support staff to aid in faster, more knowledgeable decision making. </w:t>
      </w:r>
    </w:p>
    <w:p>
      <w:pPr>
        <w:pStyle w:val="Normal"/>
        <w:numPr>
          <w:ilvl w:val="0"/>
          <w:numId w:val="10"/>
        </w:numPr>
        <w:tabs>
          <w:tab w:val="clear" w:pos="720"/>
          <w:tab w:val="left" w:pos="1080" w:leader="none"/>
        </w:tabs>
        <w:ind w:hanging="360" w:start="1080" w:end="0"/>
        <w:rPr/>
      </w:pPr>
      <w:r>
        <w:rPr/>
        <w:t>Lastly, there is a need, due to employee turnover and other factors, to clean up the files and establish a paper trail for future reference on all agreements.</w:t>
      </w:r>
    </w:p>
    <w:p>
      <w:pPr>
        <w:pStyle w:val="Normal"/>
        <w:numPr>
          <w:ilvl w:val="0"/>
          <w:numId w:val="2"/>
        </w:numPr>
        <w:tabs>
          <w:tab w:val="left" w:pos="720" w:leader="none"/>
        </w:tabs>
        <w:ind w:hanging="360" w:start="720" w:end="0"/>
        <w:rPr/>
      </w:pPr>
      <w:r>
        <w:rPr/>
        <w:t>Additionally, preliminary word from the Measurement Continuous Improvement Task Force is that lack of control of contract information due to interpretation, discounts, etc… is a primary cause of PPAs.  The magnitude of this problem is, however, is not yet known.  More information on this will follow as the Task Force’s efforts continue.</w:t>
      </w:r>
    </w:p>
    <w:p>
      <w:pPr>
        <w:pStyle w:val="Normal"/>
        <w:numPr>
          <w:ilvl w:val="0"/>
          <w:numId w:val="11"/>
        </w:numPr>
        <w:rPr/>
      </w:pPr>
      <w:r>
        <w:rPr>
          <w:b/>
          <w:i/>
        </w:rPr>
        <w:t>What requirements does the Risk Book Project have for the agreements?</w:t>
      </w:r>
    </w:p>
    <w:p>
      <w:pPr>
        <w:pStyle w:val="Normal"/>
        <w:numPr>
          <w:ilvl w:val="0"/>
          <w:numId w:val="16"/>
        </w:numPr>
        <w:tabs>
          <w:tab w:val="left" w:pos="720" w:leader="none"/>
        </w:tabs>
        <w:ind w:hanging="360" w:start="720" w:end="0"/>
        <w:rPr/>
      </w:pPr>
      <w:r>
        <w:rPr/>
        <w:t>The Risk Book Team is requiring that all firm service agreements be briefed.  Some of the information required for the risk books can be found in the CMS system and is being extracted from CMS, however, additional items, such as those listed below, need to be extracted directly from the agreement:</w:t>
      </w:r>
    </w:p>
    <w:p>
      <w:pPr>
        <w:pStyle w:val="Normal"/>
        <w:numPr>
          <w:ilvl w:val="0"/>
          <w:numId w:val="4"/>
        </w:numPr>
        <w:tabs>
          <w:tab w:val="clear" w:pos="720"/>
          <w:tab w:val="left" w:pos="1080" w:leader="none"/>
        </w:tabs>
        <w:ind w:hanging="360" w:start="1080" w:end="0"/>
        <w:rPr/>
      </w:pPr>
      <w:r>
        <w:rPr/>
        <w:t>Capacity release profit sharing language</w:t>
      </w:r>
    </w:p>
    <w:p>
      <w:pPr>
        <w:pStyle w:val="Normal"/>
        <w:numPr>
          <w:ilvl w:val="0"/>
          <w:numId w:val="4"/>
        </w:numPr>
        <w:tabs>
          <w:tab w:val="clear" w:pos="720"/>
          <w:tab w:val="left" w:pos="1080" w:leader="none"/>
        </w:tabs>
        <w:ind w:hanging="360" w:start="1080" w:end="0"/>
        <w:rPr/>
      </w:pPr>
      <w:r>
        <w:rPr/>
        <w:t>Contracts with multiple delivery points for the same MDQ</w:t>
      </w:r>
    </w:p>
    <w:p>
      <w:pPr>
        <w:pStyle w:val="Normal"/>
        <w:numPr>
          <w:ilvl w:val="0"/>
          <w:numId w:val="4"/>
        </w:numPr>
        <w:tabs>
          <w:tab w:val="clear" w:pos="720"/>
          <w:tab w:val="left" w:pos="1080" w:leader="none"/>
        </w:tabs>
        <w:ind w:hanging="360" w:start="1080" w:end="0"/>
        <w:rPr/>
      </w:pPr>
      <w:r>
        <w:rPr/>
        <w:t>Contracts allowing primary point revisions at discounted rates</w:t>
      </w:r>
    </w:p>
    <w:p>
      <w:pPr>
        <w:pStyle w:val="Normal"/>
        <w:numPr>
          <w:ilvl w:val="0"/>
          <w:numId w:val="4"/>
        </w:numPr>
        <w:tabs>
          <w:tab w:val="clear" w:pos="720"/>
          <w:tab w:val="left" w:pos="1080" w:leader="none"/>
        </w:tabs>
        <w:ind w:hanging="360" w:start="1080" w:end="0"/>
        <w:rPr/>
      </w:pPr>
      <w:r>
        <w:rPr/>
        <w:t>Contracts that have termination rights prior to term</w:t>
      </w:r>
    </w:p>
    <w:p>
      <w:pPr>
        <w:pStyle w:val="Normal"/>
        <w:numPr>
          <w:ilvl w:val="0"/>
          <w:numId w:val="4"/>
        </w:numPr>
        <w:tabs>
          <w:tab w:val="clear" w:pos="720"/>
          <w:tab w:val="left" w:pos="1080" w:leader="none"/>
        </w:tabs>
        <w:ind w:hanging="360" w:start="1080" w:end="0"/>
        <w:rPr/>
      </w:pPr>
      <w:r>
        <w:rPr/>
        <w:t>Contracts with pressure commitments</w:t>
      </w:r>
    </w:p>
    <w:p>
      <w:pPr>
        <w:pStyle w:val="Normal"/>
        <w:numPr>
          <w:ilvl w:val="0"/>
          <w:numId w:val="16"/>
        </w:numPr>
        <w:tabs>
          <w:tab w:val="left" w:pos="720" w:leader="none"/>
        </w:tabs>
        <w:ind w:hanging="360" w:start="720" w:end="0"/>
        <w:rPr/>
      </w:pPr>
      <w:r>
        <w:rPr/>
        <w:t>The Risk Book Team believes the Account Managers will be the ones to extract the additional information from the agreements.  Contract Administration apparently has additional information that should be included in the brief as well that the Account Managers may not have.</w:t>
      </w:r>
    </w:p>
    <w:p>
      <w:pPr>
        <w:pStyle w:val="BodyText"/>
        <w:numPr>
          <w:ilvl w:val="0"/>
          <w:numId w:val="11"/>
        </w:numPr>
        <w:rPr/>
      </w:pPr>
      <w:r>
        <w:rPr/>
        <w:t>What suggested changes to the contract process could potentially be recommended       with buy-in from Legal, Marketing, Market Services, and Regulatory?</w:t>
      </w:r>
    </w:p>
    <w:p>
      <w:pPr>
        <w:pStyle w:val="Normal"/>
        <w:numPr>
          <w:ilvl w:val="0"/>
          <w:numId w:val="9"/>
        </w:numPr>
        <w:tabs>
          <w:tab w:val="left" w:pos="720" w:leader="none"/>
        </w:tabs>
        <w:ind w:hanging="360" w:start="720" w:end="0"/>
        <w:rPr/>
      </w:pPr>
      <w:r>
        <w:rPr/>
        <w:t>Issue a period of amnesty for all parties dealing with agreements.  What could have, should have or would have been done if…(fill in the blank) no longer matters.  What does matter is how to be effective in the future and how to institute a working process for documents that can and will be adopted by all employees.</w:t>
      </w:r>
    </w:p>
    <w:p>
      <w:pPr>
        <w:pStyle w:val="Normal"/>
        <w:numPr>
          <w:ilvl w:val="0"/>
          <w:numId w:val="9"/>
        </w:numPr>
        <w:tabs>
          <w:tab w:val="left" w:pos="720" w:leader="none"/>
        </w:tabs>
        <w:ind w:hanging="360" w:start="720" w:end="0"/>
        <w:rPr/>
      </w:pPr>
      <w:r>
        <w:rPr/>
        <w:t>Establish a working process for new agreements created in the future, which ensures that the documents will be handled appropriately and be made accessible by employees who need to have access to them</w:t>
      </w:r>
    </w:p>
    <w:p>
      <w:pPr>
        <w:pStyle w:val="Normal"/>
        <w:numPr>
          <w:ilvl w:val="0"/>
          <w:numId w:val="12"/>
        </w:numPr>
        <w:tabs>
          <w:tab w:val="clear" w:pos="720"/>
          <w:tab w:val="left" w:pos="1080" w:leader="none"/>
        </w:tabs>
        <w:ind w:hanging="360" w:start="1080" w:end="0"/>
        <w:rPr/>
      </w:pPr>
      <w:r>
        <w:rPr/>
        <w:t>Expand the role of Contract Administration to include the document handling of all agreements for commercial and non-commercial arrangements. This would mean that the process for any agreements, regardless of type, would be that all executed originals would be sent to Contract Administration (not Corporate Records) and Contract Administration would be responsible for setting up the files in the Houston file room on the 41</w:t>
      </w:r>
      <w:r>
        <w:rPr>
          <w:vertAlign w:val="superscript"/>
        </w:rPr>
        <w:t>st</w:t>
      </w:r>
      <w:r>
        <w:rPr/>
        <w:t xml:space="preserve"> floor and sending the executed originals to Corporate Records, giving ET&amp;S a control point to ensure that its all of its agreements are properly controlled.</w:t>
      </w:r>
    </w:p>
    <w:p>
      <w:pPr>
        <w:pStyle w:val="Normal"/>
        <w:numPr>
          <w:ilvl w:val="0"/>
          <w:numId w:val="12"/>
        </w:numPr>
        <w:tabs>
          <w:tab w:val="clear" w:pos="720"/>
          <w:tab w:val="left" w:pos="1080" w:leader="none"/>
        </w:tabs>
        <w:ind w:hanging="360" w:start="1080" w:end="0"/>
        <w:rPr/>
      </w:pPr>
      <w:r>
        <w:rPr/>
        <w:t xml:space="preserve">All agreements would be tracked through a routing system.  For the agreements that are </w:t>
      </w:r>
      <w:r>
        <w:rPr>
          <w:u w:val="single"/>
        </w:rPr>
        <w:t>not</w:t>
      </w:r>
      <w:r>
        <w:rPr/>
        <w:t xml:space="preserve"> routed through either of the contract systems, an Access database would be built to track contract status.  This Access database would be accessible through the ET&amp;S Intranet Webpage and would be utilized until modifications could be made to the CMS and CBS systems. Legal would be responsible for making sure that any agreements created by or reviewed by Legal were captured by the routing feature in the Access database if not already captured in the CMS or CBS systems.  Contract Administration would take on the responsibility of following up on all of the agreements in CMS, CBS and the Access database to ensure that the process has been followed and Contract Administration has received all executed originals.  This would ensure that all agreements are processed properly and made accessible to employees requiring access to the agreements.</w:t>
      </w:r>
    </w:p>
    <w:p>
      <w:pPr>
        <w:pStyle w:val="Normal"/>
        <w:numPr>
          <w:ilvl w:val="0"/>
          <w:numId w:val="12"/>
        </w:numPr>
        <w:tabs>
          <w:tab w:val="clear" w:pos="720"/>
          <w:tab w:val="left" w:pos="1080" w:leader="none"/>
        </w:tabs>
        <w:ind w:hanging="360" w:start="1080" w:end="0"/>
        <w:rPr/>
      </w:pPr>
      <w:r>
        <w:rPr/>
        <w:t>In order to ensure that the agreements remain secure and accessible by any employee who needs ready access to them, Contract Administration would:    i)  lock down the files in the Houston file room,                                               ii) allow checkout of no more than two days for files with a sign out by the party holding the file in a log book and                                                           iii) ensure that any employee needing access to the files has a means of getting the file information, regardless of the employee’s location or the time of day the file is needed.                                                                                             The process would be that the file room in Houston stays locked with a file clerk physically located in the file room.  The file clerk would make sure that any agreements leaving the file room are recorded in the log book and that the two day checkout period is adhered to.  Additionally, the log book would record the extension and location where the file would be found if needed by another employee during the two day period. Contract Administration would need to make sure that the file room is staffed continuously during work hours, that a fax machine is available to send information to Omaha and Minneapolis as quickly as possible and that accommodations are made for access to the files for employees who work evening and weekend shifts.</w:t>
      </w:r>
    </w:p>
    <w:p>
      <w:pPr>
        <w:pStyle w:val="Normal"/>
        <w:numPr>
          <w:ilvl w:val="0"/>
          <w:numId w:val="12"/>
        </w:numPr>
        <w:tabs>
          <w:tab w:val="clear" w:pos="720"/>
          <w:tab w:val="left" w:pos="1080" w:leader="none"/>
        </w:tabs>
        <w:ind w:hanging="360" w:start="1080" w:end="0"/>
        <w:rPr/>
      </w:pPr>
      <w:r>
        <w:rPr/>
        <w:t>To ensure that all employees understand the process, the process could be explained on the ET&amp;S Intranet Webpage.  Along with the process, there could be a distribution list for certain types of agreements to stipulate who receives copies of the agreements when the executed originals are sent to Contract Administration.  Additionally, the Access database could be attached to the webpage for easy updating of routing information and review of the listing for non-CMS or CBS agreements.</w:t>
      </w:r>
    </w:p>
    <w:p>
      <w:pPr>
        <w:pStyle w:val="Normal"/>
        <w:numPr>
          <w:ilvl w:val="0"/>
          <w:numId w:val="9"/>
        </w:numPr>
        <w:tabs>
          <w:tab w:val="left" w:pos="720" w:leader="none"/>
        </w:tabs>
        <w:ind w:hanging="360" w:start="720" w:end="0"/>
        <w:rPr/>
      </w:pPr>
      <w:r>
        <w:rPr/>
        <w:t>Utilize the Risk Book Project contract briefing to begin the project to centralize the files for the firm agreements.  The steps would be as follows:</w:t>
      </w:r>
    </w:p>
    <w:p>
      <w:pPr>
        <w:pStyle w:val="Normal"/>
        <w:numPr>
          <w:ilvl w:val="0"/>
          <w:numId w:val="15"/>
        </w:numPr>
        <w:tabs>
          <w:tab w:val="clear" w:pos="720"/>
          <w:tab w:val="left" w:pos="1080" w:leader="none"/>
        </w:tabs>
        <w:ind w:hanging="360" w:start="1080" w:end="0"/>
        <w:rPr/>
      </w:pPr>
      <w:r>
        <w:rPr/>
        <w:t>The Account Managers brief the agreements for the Risk Books project on a contract briefing form with a copy of the agreement and all pertinent documents attached to create a paper trail for all of the information contained in the brief.  (The Risk Book Team is currently working to establish all of the information required for the Risk Book briefs.)</w:t>
      </w:r>
    </w:p>
    <w:p>
      <w:pPr>
        <w:pStyle w:val="Normal"/>
        <w:numPr>
          <w:ilvl w:val="0"/>
          <w:numId w:val="15"/>
        </w:numPr>
        <w:tabs>
          <w:tab w:val="clear" w:pos="720"/>
          <w:tab w:val="left" w:pos="1080" w:leader="none"/>
        </w:tabs>
        <w:ind w:hanging="360" w:start="1080" w:end="0"/>
        <w:rPr/>
      </w:pPr>
      <w:r>
        <w:rPr/>
        <w:t>The Account Manager forwards the brief and attached documents to Contract Administration to add any additional information to the brief that is contained in the files in Houston.  If any additional briefing information and/or documentation is found by Contract Administration in Houston, which the Account Manager does not have access to, Contract Administration would notify the Account Manager of the additional information and copy the Account Manager on all documents and the updated contract brief so that the Account Managers and Contract Administration both have the same information contained in the paper trail.</w:t>
      </w:r>
    </w:p>
    <w:p>
      <w:pPr>
        <w:pStyle w:val="Normal"/>
        <w:numPr>
          <w:ilvl w:val="0"/>
          <w:numId w:val="15"/>
        </w:numPr>
        <w:tabs>
          <w:tab w:val="clear" w:pos="720"/>
          <w:tab w:val="left" w:pos="1080" w:leader="none"/>
        </w:tabs>
        <w:ind w:hanging="360" w:start="1080" w:end="0"/>
        <w:rPr/>
      </w:pPr>
      <w:r>
        <w:rPr/>
        <w:t>Contract Administration would retain a copy of the paper trail and the risk book brief in the file room in Houston.</w:t>
      </w:r>
    </w:p>
    <w:p>
      <w:pPr>
        <w:pStyle w:val="Normal"/>
        <w:numPr>
          <w:ilvl w:val="0"/>
          <w:numId w:val="9"/>
        </w:numPr>
        <w:tabs>
          <w:tab w:val="left" w:pos="720" w:leader="none"/>
        </w:tabs>
        <w:ind w:hanging="360" w:start="720" w:end="0"/>
        <w:rPr/>
      </w:pPr>
      <w:r>
        <w:rPr/>
        <w:t>Continue the file room centralization project by:</w:t>
      </w:r>
    </w:p>
    <w:p>
      <w:pPr>
        <w:pStyle w:val="Normal"/>
        <w:numPr>
          <w:ilvl w:val="0"/>
          <w:numId w:val="6"/>
        </w:numPr>
        <w:tabs>
          <w:tab w:val="clear" w:pos="720"/>
          <w:tab w:val="left" w:pos="1080" w:leader="none"/>
        </w:tabs>
        <w:ind w:hanging="360" w:start="1080" w:end="0"/>
        <w:rPr/>
      </w:pPr>
      <w:r>
        <w:rPr/>
        <w:t xml:space="preserve">Once the Risk Book contract briefing effort is either completed or fully underway for the firm agreements, have all employees participate by going through their files and sending any executed originals to Contract Administration.  </w:t>
      </w:r>
    </w:p>
    <w:p>
      <w:pPr>
        <w:pStyle w:val="Normal"/>
        <w:numPr>
          <w:ilvl w:val="0"/>
          <w:numId w:val="6"/>
        </w:numPr>
        <w:tabs>
          <w:tab w:val="clear" w:pos="720"/>
          <w:tab w:val="left" w:pos="1080" w:leader="none"/>
        </w:tabs>
        <w:ind w:hanging="360" w:start="1080" w:end="0"/>
        <w:rPr/>
      </w:pPr>
      <w:r>
        <w:rPr/>
        <w:t>Additionally, copies of any non-standard agreements that were never sent to Contract Administration would be sent to Contract Administration with a note as to whether the original was sent to Corporate Records or not.  Contract Administration could develop a cover sheet for these agreements with the basic information about the agreement extracted on the cover page.</w:t>
      </w:r>
    </w:p>
    <w:p>
      <w:pPr>
        <w:pStyle w:val="Normal"/>
        <w:numPr>
          <w:ilvl w:val="0"/>
          <w:numId w:val="6"/>
        </w:numPr>
        <w:tabs>
          <w:tab w:val="clear" w:pos="720"/>
          <w:tab w:val="left" w:pos="1080" w:leader="none"/>
        </w:tabs>
        <w:ind w:hanging="360" w:start="1080" w:end="0"/>
        <w:rPr/>
      </w:pPr>
      <w:r>
        <w:rPr/>
        <w:t xml:space="preserve">In Omaha, Marketing is considering a project to organize the Marketing file room.  In the process, copies of all of the agreements uncovered in the customer and project files could be sent to Contract Administration in Houston for further handling.  </w:t>
      </w:r>
    </w:p>
    <w:p>
      <w:pPr>
        <w:pStyle w:val="Normal"/>
        <w:numPr>
          <w:ilvl w:val="0"/>
          <w:numId w:val="11"/>
        </w:numPr>
        <w:rPr>
          <w:b/>
          <w:i/>
          <w:i/>
        </w:rPr>
      </w:pPr>
      <w:r>
        <w:rPr>
          <w:b/>
          <w:i/>
        </w:rPr>
        <w:t>How can we make sure employees will follow a new process?</w:t>
      </w:r>
    </w:p>
    <w:p>
      <w:pPr>
        <w:pStyle w:val="Normal"/>
        <w:numPr>
          <w:ilvl w:val="0"/>
          <w:numId w:val="3"/>
        </w:numPr>
        <w:tabs>
          <w:tab w:val="left" w:pos="720" w:leader="none"/>
        </w:tabs>
        <w:ind w:hanging="360" w:start="720" w:end="0"/>
        <w:rPr/>
      </w:pPr>
      <w:r>
        <w:rPr/>
        <w:t>Several attempts in the past to institute new contract processes have failed, so it is imperative that the following take place in order to ensure that the new process will become part of employees’ daily work routines:</w:t>
      </w:r>
    </w:p>
    <w:p>
      <w:pPr>
        <w:pStyle w:val="Normal"/>
        <w:numPr>
          <w:ilvl w:val="0"/>
          <w:numId w:val="18"/>
        </w:numPr>
        <w:tabs>
          <w:tab w:val="clear" w:pos="720"/>
          <w:tab w:val="left" w:pos="1080" w:leader="none"/>
        </w:tabs>
        <w:ind w:hanging="360" w:start="1080" w:end="0"/>
        <w:rPr/>
      </w:pPr>
      <w:r>
        <w:rPr/>
        <w:t xml:space="preserve">Management for both Marketing and Contract Administration must hold employees accountable for poor performance with the handling of contracts and the control and understanding of contract information </w:t>
      </w:r>
    </w:p>
    <w:p>
      <w:pPr>
        <w:pStyle w:val="Normal"/>
        <w:numPr>
          <w:ilvl w:val="0"/>
          <w:numId w:val="18"/>
        </w:numPr>
        <w:tabs>
          <w:tab w:val="clear" w:pos="720"/>
          <w:tab w:val="left" w:pos="1080" w:leader="none"/>
        </w:tabs>
        <w:ind w:hanging="360" w:start="1080" w:end="0"/>
        <w:rPr/>
      </w:pPr>
      <w:r>
        <w:rPr/>
        <w:t>The objectives of both the Account Managers and the Contract Administrators must depend upon following the new working process</w:t>
      </w:r>
    </w:p>
    <w:p>
      <w:pPr>
        <w:pStyle w:val="Normal"/>
        <w:numPr>
          <w:ilvl w:val="0"/>
          <w:numId w:val="18"/>
        </w:numPr>
        <w:tabs>
          <w:tab w:val="clear" w:pos="720"/>
          <w:tab w:val="left" w:pos="1080" w:leader="none"/>
        </w:tabs>
        <w:ind w:hanging="360" w:start="1080" w:end="0"/>
        <w:rPr/>
      </w:pPr>
      <w:r>
        <w:rPr/>
        <w:t>Employees will not adopt the process as part of their daily routine unless they understand that there will be a verification that the process has been followed.  It is critical that Legal participate in the routing of all agreements by refusing to create or review any document that has not been logged in one of the systems or databases.  Additionally, it is imperative that Contract Administration utilize this information to follow up with employees to ensure that all of the agreements that become executed have originals forwarded to Contract Administration for further processing, regardless of type of agreement.</w:t>
      </w:r>
    </w:p>
    <w:p>
      <w:pPr>
        <w:pStyle w:val="Normal"/>
        <w:numPr>
          <w:ilvl w:val="0"/>
          <w:numId w:val="18"/>
        </w:numPr>
        <w:tabs>
          <w:tab w:val="clear" w:pos="720"/>
          <w:tab w:val="left" w:pos="1080" w:leader="none"/>
        </w:tabs>
        <w:ind w:hanging="360" w:start="1080" w:end="0"/>
        <w:rPr/>
      </w:pPr>
      <w:r>
        <w:rPr/>
        <w:t xml:space="preserve">Contract Administration must have absolute control of all documents in the file room.  The time and effort spent to clean up the contracts and create a correct paper trail would be lost without strict control of the documents in the future.  </w:t>
      </w:r>
    </w:p>
    <w:p>
      <w:pPr>
        <w:pStyle w:val="Normal"/>
        <w:rPr/>
      </w:pPr>
      <w:r>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lowerLetter"/>
      <w:lvlText w:val="(%1)"/>
      <w:lvlJc w:val="start"/>
      <w:pPr>
        <w:tabs>
          <w:tab w:val="num" w:pos="360"/>
        </w:tabs>
        <w:ind w:start="360" w:hanging="360"/>
      </w:pPr>
    </w:lvl>
  </w:abstractNum>
  <w:abstractNum w:abstractNumId="5">
    <w:lvl w:ilvl="0">
      <w:start w:val="1"/>
      <w:numFmt w:val="decimal"/>
      <w:lvlText w:val="%1."/>
      <w:lvlJc w:val="start"/>
      <w:pPr>
        <w:tabs>
          <w:tab w:val="num" w:pos="360"/>
        </w:tabs>
        <w:ind w:start="360" w:hanging="360"/>
      </w:pPr>
    </w:lvl>
  </w:abstractNum>
  <w:abstractNum w:abstractNumId="6">
    <w:lvl w:ilvl="0">
      <w:start w:val="1"/>
      <w:numFmt w:val="lowerLetter"/>
      <w:lvlText w:val="(%1)"/>
      <w:lvlJc w:val="start"/>
      <w:pPr>
        <w:tabs>
          <w:tab w:val="num" w:pos="360"/>
        </w:tabs>
        <w:ind w:start="360" w:hanging="360"/>
      </w:p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decimal"/>
      <w:lvlText w:val="%1."/>
      <w:lvlJc w:val="start"/>
      <w:pPr>
        <w:tabs>
          <w:tab w:val="num" w:pos="360"/>
        </w:tabs>
        <w:ind w:start="360" w:hanging="360"/>
      </w:p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decimal"/>
      <w:lvlText w:val="%1."/>
      <w:lvlJc w:val="start"/>
      <w:pPr>
        <w:tabs>
          <w:tab w:val="num" w:pos="360"/>
        </w:tabs>
        <w:ind w:start="360" w:hanging="360"/>
      </w:pPr>
      <w:rPr>
        <w:i/>
        <w:b/>
      </w:rPr>
    </w:lvl>
  </w:abstractNum>
  <w:abstractNum w:abstractNumId="12">
    <w:lvl w:ilvl="0">
      <w:start w:val="1"/>
      <w:numFmt w:val="lowerLetter"/>
      <w:lvlText w:val="(%1)"/>
      <w:lvlJc w:val="start"/>
      <w:pPr>
        <w:tabs>
          <w:tab w:val="num" w:pos="360"/>
        </w:tabs>
        <w:ind w:start="360" w:hanging="360"/>
      </w:pPr>
    </w:lvl>
  </w:abstractNum>
  <w:abstractNum w:abstractNumId="13">
    <w:lvl w:ilvl="0">
      <w:start w:val="1"/>
      <w:numFmt w:val="bullet"/>
      <w:lvlText w:val=""/>
      <w:lvlJc w:val="start"/>
      <w:pPr>
        <w:tabs>
          <w:tab w:val="num" w:pos="360"/>
        </w:tabs>
        <w:ind w:start="360" w:hanging="360"/>
      </w:pPr>
      <w:rPr>
        <w:rFonts w:ascii="Symbol" w:hAnsi="Symbol" w:cs="Symbol" w:hint="default"/>
      </w:rPr>
    </w:lvl>
  </w:abstractNum>
  <w:abstractNum w:abstractNumId="14">
    <w:lvl w:ilvl="0">
      <w:start w:val="1"/>
      <w:numFmt w:val="lowerLetter"/>
      <w:lvlText w:val="(%1)"/>
      <w:lvlJc w:val="start"/>
      <w:pPr>
        <w:tabs>
          <w:tab w:val="num" w:pos="360"/>
        </w:tabs>
        <w:ind w:start="360" w:hanging="360"/>
      </w:pPr>
    </w:lvl>
  </w:abstractNum>
  <w:abstractNum w:abstractNumId="15">
    <w:lvl w:ilvl="0">
      <w:start w:val="1"/>
      <w:numFmt w:val="lowerLetter"/>
      <w:lvlText w:val="(%1)"/>
      <w:lvlJc w:val="start"/>
      <w:pPr>
        <w:tabs>
          <w:tab w:val="num" w:pos="360"/>
        </w:tabs>
        <w:ind w:start="360" w:hanging="360"/>
      </w:pPr>
    </w:lvl>
  </w:abstractNum>
  <w:abstractNum w:abstractNumId="16">
    <w:lvl w:ilvl="0">
      <w:start w:val="1"/>
      <w:numFmt w:val="bullet"/>
      <w:lvlText w:val=""/>
      <w:lvlJc w:val="start"/>
      <w:pPr>
        <w:tabs>
          <w:tab w:val="num" w:pos="360"/>
        </w:tabs>
        <w:ind w:start="360" w:hanging="360"/>
      </w:pPr>
      <w:rPr>
        <w:rFonts w:ascii="Symbol" w:hAnsi="Symbol" w:cs="Symbol" w:hint="default"/>
      </w:rPr>
    </w:lvl>
  </w:abstractNum>
  <w:abstractNum w:abstractNumId="17">
    <w:lvl w:ilvl="0">
      <w:start w:val="1"/>
      <w:numFmt w:val="bullet"/>
      <w:lvlText w:val=""/>
      <w:lvlJc w:val="start"/>
      <w:pPr>
        <w:tabs>
          <w:tab w:val="num" w:pos="360"/>
        </w:tabs>
        <w:ind w:start="360" w:hanging="360"/>
      </w:pPr>
      <w:rPr>
        <w:rFonts w:ascii="Symbol" w:hAnsi="Symbol" w:cs="Symbol" w:hint="default"/>
      </w:rPr>
    </w:lvl>
  </w:abstractNum>
  <w:abstractNum w:abstractNumId="18">
    <w:lvl w:ilvl="0">
      <w:start w:val="1"/>
      <w:numFmt w:val="decimal"/>
      <w:lvlText w:val="%1."/>
      <w:lvlJc w:val="start"/>
      <w:pPr>
        <w:tabs>
          <w:tab w:val="num" w:pos="360"/>
        </w:tabs>
        <w:ind w:start="36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7z0">
    <w:name w:val="WW8Num7z0"/>
    <w:qFormat/>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2z0">
    <w:name w:val="WW8Num12z0"/>
    <w:qFormat/>
    <w:rPr/>
  </w:style>
  <w:style w:type="character" w:styleId="WW8Num18z0">
    <w:name w:val="WW8Num18z0"/>
    <w:qFormat/>
    <w:rPr>
      <w:b/>
      <w:i/>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2z0">
    <w:name w:val="WW8Num22z0"/>
    <w:qFormat/>
    <w:rPr/>
  </w:style>
  <w:style w:type="character" w:styleId="WW8Num23z0">
    <w:name w:val="WW8Num23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b/>
      <w:i/>
    </w:rPr>
  </w:style>
  <w:style w:type="character" w:styleId="WW8Num27z0">
    <w:name w:val="WW8Num27z0"/>
    <w:qFormat/>
    <w:rPr>
      <w:rFonts w:ascii="Symbol" w:hAnsi="Symbol" w:cs="Symbol"/>
    </w:rPr>
  </w:style>
  <w:style w:type="character" w:styleId="WW8Num28z0">
    <w:name w:val="WW8Num28z0"/>
    <w:qFormat/>
    <w:rPr/>
  </w:style>
  <w:style w:type="character" w:styleId="WW8Num29z0">
    <w:name w:val="WW8Num29z0"/>
    <w:qFormat/>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35z0">
    <w:name w:val="WW8Num35z0"/>
    <w:qFormat/>
    <w:rPr>
      <w:rFonts w:ascii="Symbol" w:hAnsi="Symbol" w:cs="Symbol"/>
    </w:rPr>
  </w:style>
  <w:style w:type="character" w:styleId="WW8Num36z0">
    <w:name w:val="WW8Num36z0"/>
    <w:qFormat/>
    <w:rPr>
      <w:rFonts w:ascii="Symbol" w:hAnsi="Symbol" w:cs="Symbol"/>
    </w:rPr>
  </w:style>
  <w:style w:type="character" w:styleId="WW8Num38z0">
    <w:name w:val="WW8Num38z0"/>
    <w:qFormat/>
    <w:rPr>
      <w:rFonts w:ascii="Symbol" w:hAnsi="Symbol" w:cs="Symbol"/>
    </w:rPr>
  </w:style>
  <w:style w:type="character" w:styleId="WW8Num40z0">
    <w:name w:val="WW8Num40z0"/>
    <w:qFormat/>
    <w:rPr>
      <w:rFonts w:ascii="Symbol" w:hAnsi="Symbol" w:cs="Symbol"/>
    </w:rPr>
  </w:style>
  <w:style w:type="character" w:styleId="WW8Num42z0">
    <w:name w:val="WW8Num42z0"/>
    <w:qFormat/>
    <w:rPr>
      <w:rFonts w:ascii="Symbol" w:hAnsi="Symbol" w:cs="Symbol"/>
    </w:rPr>
  </w:style>
  <w:style w:type="character" w:styleId="WW8Num43z0">
    <w:name w:val="WW8Num43z0"/>
    <w:qFormat/>
    <w:rPr>
      <w:rFonts w:ascii="Symbol" w:hAnsi="Symbol" w:cs="Symbol"/>
    </w:rPr>
  </w:style>
  <w:style w:type="character" w:styleId="WW8Num44z0">
    <w:name w:val="WW8Num44z0"/>
    <w:qFormat/>
    <w:rPr>
      <w:rFonts w:ascii="Symbol" w:hAnsi="Symbol" w:cs="Symbol"/>
    </w:rPr>
  </w:style>
  <w:style w:type="character" w:styleId="WW8Num47z0">
    <w:name w:val="WW8Num47z0"/>
    <w:qFormat/>
    <w:rPr>
      <w:rFonts w:ascii="Symbol" w:hAnsi="Symbol" w:cs="Symbol"/>
    </w:rPr>
  </w:style>
  <w:style w:type="character" w:styleId="WW8Num48z0">
    <w:name w:val="WW8Num48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28"/>
    </w:rPr>
  </w:style>
  <w:style w:type="paragraph" w:styleId="BodyText">
    <w:name w:val="Body Text"/>
    <w:basedOn w:val="Normal"/>
    <w:pPr/>
    <w:rPr>
      <w:b/>
      <w:i/>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778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1999-12-16T16:27:00Z</dcterms:created>
  <dc:creator>Sarabeth Smith</dc:creator>
  <dc:description/>
  <dc:language>en-CA</dc:language>
  <cp:lastModifiedBy>Sarabeth Smith</cp:lastModifiedBy>
  <cp:lastPrinted>2000-01-04T15:30:00Z</cp:lastPrinted>
  <dcterms:modified xsi:type="dcterms:W3CDTF">2000-01-10T14:32:00Z</dcterms:modified>
  <cp:revision>43</cp:revision>
  <dc:subject/>
  <dc:title>Project Scope </dc:title>
</cp:coreProperties>
</file>