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urier New" w:hAnsi="Courier New" w:cs="Courier New"/>
        </w:rPr>
      </w:pPr>
      <w:r>
        <w:rPr>
          <w:rFonts w:cs="Arial" w:ascii="Arial" w:hAnsi="Arial"/>
          <w:color w:val="FF0000"/>
        </w:rPr>
        <w:t>THIS FIRST CALL NOTE MUST BE SHOWN IN ITS ENTIRETY, INCLUDING ALL DISCLAIMERS.</w:t>
      </w:r>
      <w:r>
        <w:rPr/>
        <w:b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Courier New" w:hAnsi="Courier New" w:cs="Courier New"/>
        </w:rPr>
      </w:pPr>
      <w:r>
        <w:rPr>
          <w:rFonts w:cs="Courier New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CREDIT SUISSE FIRST BOSTON CORPORATION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Equity Research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Americas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Multi Utilities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Curt Launer         212/538-4269     curt.launer@csfb.com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Philip Salles       212/538-4221     philip.salles@csfb.com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Andy DeVries        212/325-2518     andy.devries@csfb.com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STRONG BUY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Target Price: 54.00 (US$)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Enron Corp. (ENE)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Conf Call Addresses Liquidity &amp; Other Issues; Business Units Performing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ENE held a conference call this morning with information to address the recent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decline in its share price and the financial and financing implications of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SEC request for information regarding "related party transactions".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With committed bank credit lines of $3.35 billion un-drawn, $1.85 billion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which support already issued commercial paper, ENE has $1.5 billion available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for new commercial paper issuance. Asset sales of over $600 million are due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close in 4Q'01 adding to the liquidity position.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Beyond the current asset sales due to close, ENE expects to close the sale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Portland General in 4Q'02. Proceeds of $1.8 billion in cash plus $1.1 billion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debt assumption will assist the funding of ENEs '02 cap exp and move its debt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ratio to about 52%, including off balance sheet debt.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ENEs debt ratings are generally three steps above "junk" status. With one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three major debt rating services considering a debt downgrade, we regard ENEs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credit ratings and balance sheet issues as unlikely to worsen materially.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Looking back at ENE reported earnings for '00, we estimate that transactions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involving the so-called LJM partnerships added $0.30-$0.40 per share to eps,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partly related to "dark fiber" sales. While this does not indicate a required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restatement, it should be noted that our '01 and '02 estimates do not include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any such transactions.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ENE partnership obligations were discussed with a "worst case" scenario of $2.4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billion of equity issuance required if asset values do not support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financings. Because these equity issuance obligations are offset by potential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asset sales, we do not expect any net new issuance of equity to result from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partnership issues.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As previously discussed, the LJM Partnership was approved by ENEs Board, outside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lawyers and auditors. The involvement of ENEs CFO ended in July '01. Dealings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with the partnerships have been "unwound" with charges and equity reductions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taken in the 3Q'01 eps reports.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We expect a continuation of the issues and inquiries that surround ENE for some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time. Ultimately, we expect the business units of the company to value it again,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resulting in a significant recovery from the 10x '02 eps p/e ENE currently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shows.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Our estimates for ENE are $1.80- in '01 and $2.15 in '02. Our recovery valuation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target is $40 per share based on an 18x p/e on the '02 eps.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The author's immediate family owns less than 250 shares of ENE.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Price        Target                     Mkt. Value 52-Week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22 Oct 01    (12 Months)      Div       Yield(%)   ($m) Price Range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20.65($)     54.00($) 0.50    1.4%      25,839.00  84.62 - 25.15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</w:rPr>
        <w:t xml:space="preserve">             </w:t>
      </w:r>
      <w:r>
        <w:rPr/>
        <w:t>Annual   Prev.   Abs.      Rel.       EBIDAX   EV/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</w:rPr>
        <w:t xml:space="preserve">             </w:t>
      </w:r>
      <w:r>
        <w:rPr/>
        <w:t>EPS($)   EPS     P/E(x)    P/E(%)     ($m) EBIDAX(x)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12/02E       2.15             13.5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12/01E       1.80             16.1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12/00A       1.47             19.7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</w:rPr>
        <w:t xml:space="preserve">             </w:t>
      </w:r>
      <w:r>
        <w:rPr/>
        <w:t>Q1       Q2      Q3        Q4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2002E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2001E        0.47     0.45    0.43      0.45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2000A        0.45     0.34    0.34      0.41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ROGIC(12/00A %)       8.1%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Net debt(12/00A $m)   11,965.0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Net debt/Total cap.(12/00A %) 44.4%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Book value/share(12/00A)      13.18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Number of Shares(m)   891.0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1On 10/22/01 the S&amp;P500 index closed at 1089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2Economic profit trend.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N.B.: CREDIT SUISSE FIRST BOSTON CORPORATION may have, within the last three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years, served as a manager or co-manager of a public offering of securities for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or makes a primary market in issues of any or all of the companies mentioned.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CREDIT SUISSE FIRST BOSTON CORPORATION CREDIT SUISSE FIRST BOSTON CORPORATION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Curt Launer         212/538-4269     curt.launer@csfb.com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CREDIT SUISSE FIRST BOSTON CORPORATION  CREDIT SUISSE FIRST BOSTON CORPORATION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Copyright (c) CREDIT SUISSE FIRST BOSTON, and its subsidiaries and affiliates,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2001. All rights reserved.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CSFB may, to the extent permitted by law, participate or invest in financing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transactions with the issuer(s) of the securities referred to in this report,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perform services for or solicit business from such issuers, and/or have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position or effect transactions in the securities or options thereon. 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addition, it may make markets in the securities mentioned in the material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presented in this report.  PLEASE REFER TO TICKER CSFBDISC FOR IMPORTANT LEGAL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DISCLOSURES.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= = ENRON CORP. = = ENE: STRONG BUY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First Call Corporation, a Thomson Financial company.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All rights reserved.  888.558.2500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2001-10-24T11:46:00Z</dcterms:created>
  <dc:creator>SBENOTT</dc:creator>
  <dc:description/>
  <dc:language>en-CA</dc:language>
  <cp:lastModifiedBy/>
  <cp:revision>1</cp:revision>
  <dc:subject/>
  <dc:title/>
</cp:coreProperties>
</file>