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November 2, 2001</w:t>
        <w:tab/>
        <w:tab/>
        <w:tab/>
        <w:tab/>
        <w:tab/>
        <w:tab/>
        <w:tab/>
        <w:t>Certified Mail</w:t>
      </w:r>
    </w:p>
    <w:p>
      <w:pPr>
        <w:pStyle w:val="Normal"/>
        <w:autoSpaceDE w:val="false"/>
        <w:rPr>
          <w:rFonts w:ascii="Arial" w:hAnsi="Arial" w:cs="Arial"/>
          <w:sz w:val="20"/>
          <w:szCs w:val="20"/>
        </w:rPr>
      </w:pPr>
      <w:r>
        <w:rPr>
          <w:rFonts w:cs="Arial" w:ascii="Arial" w:hAnsi="Arial"/>
          <w:sz w:val="20"/>
          <w:szCs w:val="20"/>
        </w:rPr>
        <w:tab/>
        <w:tab/>
        <w:tab/>
        <w:tab/>
        <w:tab/>
        <w:tab/>
        <w:tab/>
        <w:tab/>
        <w:t>Return Receipt Requested</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Leslie Reeves</w:t>
      </w:r>
    </w:p>
    <w:p>
      <w:pPr>
        <w:pStyle w:val="Normal"/>
        <w:autoSpaceDE w:val="false"/>
        <w:rPr>
          <w:rFonts w:ascii="Arial" w:hAnsi="Arial" w:cs="Arial"/>
          <w:sz w:val="20"/>
          <w:szCs w:val="20"/>
        </w:rPr>
      </w:pPr>
      <w:r>
        <w:rPr>
          <w:rFonts w:cs="Arial" w:ascii="Arial" w:hAnsi="Arial"/>
          <w:sz w:val="20"/>
          <w:szCs w:val="20"/>
        </w:rPr>
        <w:t>Power Contracts Settlement Manager</w:t>
      </w:r>
    </w:p>
    <w:p>
      <w:pPr>
        <w:pStyle w:val="Normal"/>
        <w:autoSpaceDE w:val="false"/>
        <w:rPr>
          <w:rFonts w:ascii="Arial" w:hAnsi="Arial" w:cs="Arial"/>
          <w:sz w:val="20"/>
          <w:szCs w:val="20"/>
        </w:rPr>
      </w:pPr>
      <w:r>
        <w:rPr>
          <w:rFonts w:cs="Arial" w:ascii="Arial" w:hAnsi="Arial"/>
          <w:sz w:val="20"/>
          <w:szCs w:val="20"/>
        </w:rPr>
        <w:t>Enron Power Marketing Inc.</w:t>
      </w:r>
    </w:p>
    <w:p>
      <w:pPr>
        <w:pStyle w:val="Normal"/>
        <w:autoSpaceDE w:val="false"/>
        <w:rPr>
          <w:rFonts w:ascii="Arial" w:hAnsi="Arial" w:cs="Arial"/>
          <w:sz w:val="20"/>
          <w:szCs w:val="20"/>
        </w:rPr>
      </w:pPr>
      <w:r>
        <w:rPr>
          <w:rFonts w:cs="Arial" w:ascii="Arial" w:hAnsi="Arial"/>
          <w:sz w:val="20"/>
          <w:szCs w:val="20"/>
        </w:rPr>
        <w:t>1400 Smith Street</w:t>
      </w:r>
    </w:p>
    <w:p>
      <w:pPr>
        <w:pStyle w:val="Normal"/>
        <w:autoSpaceDE w:val="false"/>
        <w:rPr>
          <w:rFonts w:ascii="Arial" w:hAnsi="Arial" w:cs="Arial"/>
          <w:sz w:val="20"/>
          <w:szCs w:val="20"/>
        </w:rPr>
      </w:pPr>
      <w:r>
        <w:rPr>
          <w:rFonts w:cs="Arial" w:ascii="Arial" w:hAnsi="Arial"/>
          <w:sz w:val="20"/>
          <w:szCs w:val="20"/>
        </w:rPr>
        <w:t>P.O. Box 4428</w:t>
      </w:r>
    </w:p>
    <w:p>
      <w:pPr>
        <w:pStyle w:val="Normal"/>
        <w:autoSpaceDE w:val="false"/>
        <w:rPr>
          <w:rFonts w:ascii="Arial" w:hAnsi="Arial" w:cs="Arial"/>
          <w:sz w:val="20"/>
          <w:szCs w:val="20"/>
        </w:rPr>
      </w:pPr>
      <w:r>
        <w:rPr>
          <w:rFonts w:cs="Arial" w:ascii="Arial" w:hAnsi="Arial"/>
          <w:sz w:val="20"/>
          <w:szCs w:val="20"/>
        </w:rPr>
        <w:t>Houston, Texas 77210-4428</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RE:</w:t>
        <w:tab/>
        <w:t>Firm Wholesale Power Agreement</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Ms. Reeves:</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 xml:space="preserve">Due to the recent downgrades by Moody’s and S&amp;P of Enron’s unsecured debt rating and market reaction to Enron’s stock value, I have some concern regarding SRP’s mark-to-market exposure with Enron under the Firm Wholesale Power Agreement between Enron Power Marketing Inc. and Salt River Project dated October 30,1998.  Section 14.1.3. (Financial Responsibility) allows for each party to require the other party to provide a guarantee or other form of security acceptable to the requesting party based on changes in the financial condition or creditworthiness of the other party.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 xml:space="preserve">SRP is requesting a cash margin or an irrevocable standby letter of credit in a form acceptable to SRP in the amount of $5.5 million.  The $5.5 million is our estimated potential value at risk associated with this purchase contract.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Sincerely,</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Mark Russell</w:t>
      </w:r>
    </w:p>
    <w:p>
      <w:pPr>
        <w:pStyle w:val="Normal"/>
        <w:autoSpaceDE w:val="false"/>
        <w:rPr>
          <w:rFonts w:ascii="Arial" w:hAnsi="Arial" w:cs="Arial"/>
          <w:sz w:val="20"/>
          <w:szCs w:val="20"/>
        </w:rPr>
      </w:pPr>
      <w:r>
        <w:rPr>
          <w:rFonts w:cs="Arial" w:ascii="Arial" w:hAnsi="Arial"/>
          <w:sz w:val="20"/>
          <w:szCs w:val="20"/>
        </w:rPr>
        <w:t>Senior Financial Analyst</w:t>
      </w:r>
    </w:p>
    <w:p>
      <w:pPr>
        <w:pStyle w:val="Normal"/>
        <w:rPr>
          <w:rFonts w:ascii="Arial" w:hAnsi="Arial" w:cs="Arial"/>
          <w:sz w:val="20"/>
          <w:szCs w:val="20"/>
        </w:rPr>
      </w:pPr>
      <w:r>
        <w:rPr>
          <w:rFonts w:cs="Arial" w:ascii="Arial" w:hAnsi="Arial"/>
          <w:sz w:val="20"/>
          <w:szCs w:val="20"/>
        </w:rPr>
      </w:r>
    </w:p>
    <w:p>
      <w:pPr>
        <w:pStyle w:val="Normal"/>
        <w:rPr/>
      </w:pPr>
      <w:r>
        <w:rPr/>
      </w:r>
    </w:p>
    <w:p>
      <w:pPr>
        <w:pStyle w:val="Normal"/>
        <w:rPr/>
      </w:pPr>
      <w:r>
        <w:rPr/>
        <w:t>Cc:</w:t>
        <w:tab/>
        <w:t>Tracy Ngo</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2001-11-02T15:40:00Z</dcterms:created>
  <dc:creator/>
  <dc:description/>
  <dc:language>en-CA</dc:language>
  <cp:lastModifiedBy/>
  <cp:lastPrinted>2001-11-02T14:53:00Z</cp:lastPrinted>
  <cp:revision>1</cp:revision>
  <dc:subject/>
  <dc:title>October 2, 2001</dc:title>
</cp:coreProperties>
</file>