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ind w:hanging="180" w:start="-270" w:end="-180"/>
        <w:jc w:val="end"/>
        <w:rPr/>
      </w:pPr>
      <w:r>
        <w:rPr/>
        <w:t>Draft  2/9/01</w:t>
      </w:r>
    </w:p>
    <w:p>
      <w:pPr>
        <w:pStyle w:val="CG-SingleSp"/>
        <w:jc w:val="center"/>
        <w:rPr/>
      </w:pPr>
      <w:r>
        <w:rPr/>
        <w:t>SUMMARY OF CONFORMING AND TECHNICAL CHANGES TO S.220</w:t>
      </w:r>
    </w:p>
    <w:p>
      <w:pPr>
        <w:pStyle w:val="CG-SingleSp"/>
        <w:rPr>
          <w:u w:val="single"/>
        </w:rPr>
      </w:pPr>
      <w:r>
        <w:rPr>
          <w:u w:val="single"/>
        </w:rPr>
        <w:t>Changes to Netting Provisions of FDICIA</w:t>
      </w:r>
    </w:p>
    <w:p>
      <w:pPr>
        <w:pStyle w:val="CG-SingleSp"/>
        <w:numPr>
          <w:ilvl w:val="0"/>
          <w:numId w:val="7"/>
        </w:numPr>
        <w:rPr/>
      </w:pPr>
      <w:r>
        <w:rPr/>
        <w:t>To conform to the CFMA, amend the definition of “clearing organization” to include  MCO’s  (DCO’s and securities clearing agencies are already included).</w:t>
      </w:r>
    </w:p>
    <w:p>
      <w:pPr>
        <w:pStyle w:val="CG-SingleSp"/>
        <w:numPr>
          <w:ilvl w:val="0"/>
          <w:numId w:val="7"/>
        </w:numPr>
        <w:rPr/>
      </w:pPr>
      <w:r>
        <w:rPr/>
        <w:t>To reflect the CFMA, extend FDICIA Section 407 (as added by S. 220) to MCO’s that are uninsured state member banks and Edge Act corporations that are not in a proceeding under the Bankruptcy Code.</w:t>
      </w:r>
    </w:p>
    <w:p>
      <w:pPr>
        <w:pStyle w:val="CG-SingleSp"/>
        <w:rPr>
          <w:u w:val="single"/>
        </w:rPr>
      </w:pPr>
      <w:r>
        <w:rPr>
          <w:u w:val="single"/>
        </w:rPr>
        <w:t>Changes to the Bankruptcy Code</w:t>
      </w:r>
    </w:p>
    <w:p>
      <w:pPr>
        <w:pStyle w:val="CG-SingleSp"/>
        <w:numPr>
          <w:ilvl w:val="0"/>
          <w:numId w:val="7"/>
        </w:numPr>
        <w:rPr/>
      </w:pPr>
      <w:r>
        <w:rPr/>
        <w:t>To reflect the CFMA, amend the definitions of “forward contract,” “swap agreement” and  “repurchase agreement” to include (as is already the case for guarantees under the definition of “securities contract”) guarantees by, and reimbursement obligations to, DCO’s, MCO’s and securities clearing agencies of settlement obligations in connection with such contracts and agreements.  In addition, amend the definition of “contractual right” in respect of “commodity contract,” “forward contract,” “swap agreement,” “securities contract,” “repurchase agreement” and “master netting agreement” to include rules of DCO’s, MCO’s and securities clearing agencies, contract markets, DTEF’s and boards of trade (including exempt boards of trade).</w:t>
      </w:r>
    </w:p>
    <w:p>
      <w:pPr>
        <w:pStyle w:val="CG-SingleSp"/>
        <w:numPr>
          <w:ilvl w:val="0"/>
          <w:numId w:val="9"/>
        </w:numPr>
        <w:rPr/>
      </w:pPr>
      <w:r>
        <w:rPr/>
        <w:t>To reflect market and regulatory changes, expand the assets that can be the subject of a “repurchase agreement” to include any security or loan.</w:t>
      </w:r>
    </w:p>
    <w:p>
      <w:pPr>
        <w:pStyle w:val="CG-SingleSp"/>
        <w:numPr>
          <w:ilvl w:val="0"/>
          <w:numId w:val="9"/>
        </w:numPr>
        <w:rPr/>
      </w:pPr>
      <w:r>
        <w:rPr/>
        <w:t xml:space="preserve">To conform to the definition of “swap agreement” in Title III of the CFMA, amend the definition of “swap agreement” in S. 220.   </w:t>
      </w:r>
    </w:p>
    <w:p>
      <w:pPr>
        <w:pStyle w:val="CG-SingleSp"/>
        <w:numPr>
          <w:ilvl w:val="0"/>
          <w:numId w:val="9"/>
        </w:numPr>
        <w:rPr/>
      </w:pPr>
      <w:r>
        <w:rPr/>
        <w:t xml:space="preserve">To reflect the CMFA, amend the definition of “commodity contract” to make clear that </w:t>
      </w:r>
      <w:r>
        <w:rPr>
          <w:i/>
        </w:rPr>
        <w:t>for the purpose of Section 556 and related close-out provisions</w:t>
      </w:r>
      <w:r>
        <w:rPr/>
        <w:t xml:space="preserve">, “commodity contract” means transactions cleared by DCO’s and MCO’s or traded subject to the rules of a contract market, DTEF, DCO or board of trade,  </w:t>
      </w:r>
      <w:r>
        <w:rPr>
          <w:i/>
        </w:rPr>
        <w:t>but</w:t>
      </w:r>
      <w:r>
        <w:rPr/>
        <w:t xml:space="preserve"> retain the distinction introduced in amendments to the definition of “commodity contract” made by the CMFA that, </w:t>
      </w:r>
      <w:r>
        <w:rPr>
          <w:i/>
        </w:rPr>
        <w:t>for purposes of the commodity broker liquidation provisions of the Bankruptcy Code</w:t>
      </w:r>
      <w:r>
        <w:rPr/>
        <w:t xml:space="preserve">, “commodity contract” only includes transactions cleared by DCO’s. </w:t>
      </w:r>
    </w:p>
    <w:p>
      <w:pPr>
        <w:pStyle w:val="CG-SingleSp"/>
        <w:numPr>
          <w:ilvl w:val="0"/>
          <w:numId w:val="9"/>
        </w:numPr>
        <w:rPr/>
      </w:pPr>
      <w:r>
        <w:rPr/>
        <w:t>To reflect the CMFA, amend the preservation of customer priority provisions of new Section 561(b)(2) of the Bankruptcy Code (added by S. 220) to apply to commodity contracts that are cleared by a DCO and traded on or subject to the rules of a contract market or DTEF.</w:t>
      </w:r>
    </w:p>
    <w:p>
      <w:pPr>
        <w:pStyle w:val="CG-SingleSp"/>
        <w:numPr>
          <w:ilvl w:val="0"/>
          <w:numId w:val="9"/>
        </w:numPr>
        <w:rPr/>
      </w:pPr>
      <w:r>
        <w:rPr/>
        <w:t>To reflect the CFMA, amend the definition of “financial participant” to include FDICIA “clearing organizations” (i.e., DCO’s, MCO’s and securities clearing agencies) and add “financial participants” as entities that are entitled to protections in respect of “swap agreements” and “repurchase agreements” (S. 220 would already add “financial participants” as entities entitled to protections in respect of “securities contracts”, “forward contracts” and “commodity contracts”).</w:t>
      </w:r>
    </w:p>
    <w:p>
      <w:pPr>
        <w:pStyle w:val="CG-SingleSp"/>
        <w:numPr>
          <w:ilvl w:val="0"/>
          <w:numId w:val="9"/>
        </w:numPr>
        <w:rPr/>
      </w:pPr>
      <w:r>
        <w:rPr/>
        <w:t>To correct a technical error in S. 220, in amendments to Section 362(b) of the Bankruptcy Code made by S.220, replace the phrase “pledged to, and under the control of” with “pledged to, under the control of” each time it appears.</w:t>
      </w:r>
    </w:p>
    <w:p>
      <w:pPr>
        <w:pStyle w:val="CG-SingleSp"/>
        <w:numPr>
          <w:ilvl w:val="0"/>
          <w:numId w:val="9"/>
        </w:numPr>
        <w:rPr>
          <w:u w:val="single"/>
        </w:rPr>
      </w:pPr>
      <w:r>
        <w:rPr/>
        <w:t>To conform to the CFMA and correct a technical error in S. 220, provide that cross-margining agreements [and similar arrangements] submitted to the CFTC and permitted to go into effect (rather than “approved”)[, as well as any other credit enhancement arrangements approved by the CFTC (rather than just “netting” agreements with a “clearing organization” approved by the CFTC),] are not subject to the preservation of customer priority provisions of new Section 561(b)(2) of the Bankruptcy Code (added by S. 220). [A better formulation in light of the CFMA than “permitted to go into effect” would be “in effect and not abrogated or required to be abrogated”]</w:t>
      </w:r>
    </w:p>
    <w:p>
      <w:pPr>
        <w:pStyle w:val="CG-SingleSp"/>
        <w:rPr/>
      </w:pPr>
      <w:r>
        <w:rPr/>
        <w:t xml:space="preserve"> </w:t>
      </w:r>
      <w:r>
        <w:rPr>
          <w:u w:val="single"/>
        </w:rPr>
        <w:t>Changes to Federal Deposit Insurance Act</w:t>
      </w:r>
    </w:p>
    <w:p>
      <w:pPr>
        <w:pStyle w:val="CG-SingleSp"/>
        <w:numPr>
          <w:ilvl w:val="0"/>
          <w:numId w:val="9"/>
        </w:numPr>
        <w:rPr/>
      </w:pPr>
      <w:r>
        <w:rPr/>
        <w:t>To reflect the CFMA, amend the definitions of “forward contract,” “swap agreement” and  “repurchase agreement” to include (as is already the case for guarantees under the definition of “securities contract”) guarantees by, and reimbursement obligations to, DCO’s, MCO’s and securities clearing agencies of settlement obligations in connection with such contracts and agreements.</w:t>
      </w:r>
    </w:p>
    <w:p>
      <w:pPr>
        <w:pStyle w:val="CG-SingleSp"/>
        <w:numPr>
          <w:ilvl w:val="0"/>
          <w:numId w:val="9"/>
        </w:numPr>
        <w:rPr/>
      </w:pPr>
      <w:r>
        <w:rPr/>
        <w:t>To reflect the CFMA and to conform to the Bankruptcy Code (as amended by the CFMA and further amended as described above), amend the definition of “commodity contract” in S. 220 to means transactions cleared by DCO’s and MCO’s or traded subject to the rules of a contract market, DTEF, DCO or board of trade.  Note that because the FDIA doesn’t address insolvency of clearing organizations, the definition of commodity contract does not need to be “split” as under the Bankruptcy Code as described above.</w:t>
      </w:r>
    </w:p>
    <w:p>
      <w:pPr>
        <w:pStyle w:val="CG-SingleSp"/>
        <w:numPr>
          <w:ilvl w:val="0"/>
          <w:numId w:val="9"/>
        </w:numPr>
        <w:rPr/>
      </w:pPr>
      <w:r>
        <w:rPr/>
        <w:t>To reflect market and regulatory changes, expand the assets that can be the subject of a “repurchase agreement” to include any securities and loans.</w:t>
      </w:r>
    </w:p>
    <w:p>
      <w:pPr>
        <w:pStyle w:val="CG-SingleSp"/>
        <w:numPr>
          <w:ilvl w:val="0"/>
          <w:numId w:val="9"/>
        </w:numPr>
        <w:rPr/>
      </w:pPr>
      <w:r>
        <w:rPr/>
        <w:t xml:space="preserve">To conform to the definition of “swap agreement” in Title III of the CFMA, amend the definition of “swap agreement” in S. 220. </w:t>
      </w:r>
    </w:p>
    <w:p>
      <w:pPr>
        <w:pStyle w:val="CG-SingleSp"/>
        <w:numPr>
          <w:ilvl w:val="0"/>
          <w:numId w:val="9"/>
        </w:numPr>
        <w:rPr/>
      </w:pPr>
      <w:r>
        <w:rPr/>
        <w:t>To conform to the CFMA, define clearing organization in the provision of S. 220 relating to transfers by the FDIC of contracts of a failed bank subject to the rules of a clearing organization to mean FDICIA “clearing organizations” (i.e., DCO’s, MCO’s and securities clearing agencies).</w:t>
      </w:r>
    </w:p>
    <w:p>
      <w:pPr>
        <w:pStyle w:val="CG-SingleSp"/>
        <w:rPr/>
      </w:pPr>
      <w:r>
        <w:rPr/>
        <w:t>In addition to the above, there are a few section reference changes that will need to be made in S. 220 on account of the CFMA as well as some purely typographical errors that need to be corrected.</w:t>
      </w:r>
    </w:p>
    <w:p>
      <w:pPr>
        <w:pStyle w:val="CG-SingleSp"/>
        <w:rPr>
          <w:u w:val="single"/>
        </w:rPr>
      </w:pPr>
      <w:r>
        <w:rPr>
          <w:u w:val="single"/>
        </w:rPr>
        <w:t>[Changes relating to Discharge of Fraud Claims Against Corporate Debtors</w:t>
      </w:r>
    </w:p>
    <w:p>
      <w:pPr>
        <w:pStyle w:val="CG-SingleSp"/>
        <w:rPr/>
      </w:pPr>
      <w:r>
        <w:rPr/>
        <w:t>Amend Section 708 (and 321) of S. 220 to make clear that, although claims of the U.S. government for fraud cannot be discharged by a corporate debtor, other fraud claims can be discharged (as under current law).]</w:t>
      </w:r>
      <w:r>
        <w:br w:type="page"/>
      </w:r>
    </w:p>
    <w:p>
      <w:pPr>
        <w:pStyle w:val="CG-SingleSp"/>
        <w:rPr/>
      </w:pPr>
      <w:r>
        <w:rPr/>
        <w:t>Note for BMA/ISDA:</w:t>
      </w:r>
    </w:p>
    <w:p>
      <w:pPr>
        <w:pStyle w:val="CG-SingleSp"/>
        <w:rPr/>
      </w:pPr>
      <w:r>
        <w:rPr/>
      </w:r>
    </w:p>
    <w:p>
      <w:pPr>
        <w:pStyle w:val="CG-SingleSp"/>
        <w:rPr/>
      </w:pPr>
      <w:r>
        <w:rPr/>
        <w:t>There are a number of CFMA-generated issues that are not addressed by the foregoing.  These issues all relate to the insolvency of intermediaries – e.g., broker-dealers, FCMs and clearing organizations.  Some of these issues might be relatively easy to address in S. 220, but most would be difficult.  Since S. 220 does not address insolvency of intermediaries (other than in new Section 561(b)(2) of the Bankruptcy Code), but only close-out rights, however, addressing these issues would seem to be beyond the scope of the current effort.  The CFMA-generated issues not addressed by the foregoing include:</w:t>
      </w:r>
    </w:p>
    <w:p>
      <w:pPr>
        <w:pStyle w:val="CG-SingleSp"/>
        <w:numPr>
          <w:ilvl w:val="0"/>
          <w:numId w:val="4"/>
        </w:numPr>
        <w:rPr/>
      </w:pPr>
      <w:r>
        <w:rPr/>
        <w:t>Distributional issues for dual registered entities.  This issue, which already exists, is exacerbated by the legalization of single-stock futures.  The single-stock future issue (although not the larger, more general issues for dual registered entities) could be addressed fairly easily.</w:t>
      </w:r>
    </w:p>
    <w:p>
      <w:pPr>
        <w:pStyle w:val="CG-SingleSp"/>
        <w:numPr>
          <w:ilvl w:val="0"/>
          <w:numId w:val="4"/>
        </w:numPr>
        <w:rPr/>
      </w:pPr>
      <w:r>
        <w:rPr/>
        <w:t>Clarification of distributional scheme in conservatorships and receiverships of MCO’s that are uninsured state member banks or Edge Act corporations and in bankruptcy proceedings of MCO’s that are affiliates of banks.</w:t>
      </w:r>
    </w:p>
    <w:p>
      <w:pPr>
        <w:pStyle w:val="CG-SingleSp"/>
        <w:numPr>
          <w:ilvl w:val="0"/>
          <w:numId w:val="4"/>
        </w:numPr>
        <w:rPr/>
      </w:pPr>
      <w:r>
        <w:rPr/>
        <w:t>Distributional issues in respect of a DCO that clears regulated and unregulated transactions.</w:t>
      </w:r>
    </w:p>
    <w:p>
      <w:pPr>
        <w:pStyle w:val="CG-SingleSp"/>
        <w:numPr>
          <w:ilvl w:val="0"/>
          <w:numId w:val="4"/>
        </w:numPr>
        <w:rPr/>
      </w:pPr>
      <w:r>
        <w:rPr/>
        <w:t>Distributional issues in connection with securities clearing agency insolvencies.</w:t>
      </w:r>
    </w:p>
    <w:p>
      <w:pPr>
        <w:pStyle w:val="CG-SingleSp"/>
        <w:numPr>
          <w:ilvl w:val="0"/>
          <w:numId w:val="4"/>
        </w:numPr>
        <w:rPr/>
      </w:pPr>
      <w:r>
        <w:rPr/>
        <w:t xml:space="preserve">Distributional issues raised by </w:t>
      </w:r>
      <w:r>
        <w:rPr>
          <w:u w:val="single"/>
        </w:rPr>
        <w:t>Griffin Trading</w:t>
      </w:r>
      <w:r>
        <w:rPr/>
        <w:t>.</w:t>
      </w:r>
    </w:p>
    <w:p>
      <w:pPr>
        <w:pStyle w:val="CG-SingleSp"/>
        <w:numPr>
          <w:ilvl w:val="0"/>
          <w:numId w:val="4"/>
        </w:numPr>
        <w:spacing w:before="0" w:after="240"/>
        <w:rPr/>
      </w:pPr>
      <w:r>
        <w:rPr/>
        <w:t>Distributional issues with respect to customers whose property is not required to be segregated pursuant to the new CFMA opt-out provisions.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#869029</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v1]</w:t>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#869029</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v1]</w:t>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lowerRoman"/>
      <w:lvlText w:val="(%1)"/>
      <w:lvlJc w:val="end"/>
      <w:pPr>
        <w:tabs>
          <w:tab w:val="num" w:pos="504"/>
        </w:tabs>
        <w:ind w:start="504" w:hanging="216"/>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5"/>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6"/>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10"/>
      </w:numPr>
      <w:ind w:hanging="720" w:start="1440" w:end="0"/>
    </w:pPr>
    <w:rPr>
      <w:sz w:val="24"/>
    </w:rPr>
  </w:style>
  <w:style w:type="paragraph" w:styleId="CG-NumberR">
    <w:name w:val="CG-Number R"/>
    <w:basedOn w:val="Normal"/>
    <w:qFormat/>
    <w:pPr>
      <w:numPr>
        <w:ilvl w:val="0"/>
        <w:numId w:val="11"/>
      </w:numPr>
      <w:ind w:hanging="0" w:start="1440" w:end="0"/>
    </w:pPr>
    <w:rPr>
      <w:sz w:val="24"/>
    </w:rPr>
  </w:style>
  <w:style w:type="paragraph" w:styleId="CG-Numberr1">
    <w:name w:val="CG-Number r1"/>
    <w:basedOn w:val="Normal"/>
    <w:qFormat/>
    <w:pPr>
      <w:numPr>
        <w:ilvl w:val="0"/>
        <w:numId w:val="8"/>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2001-02-09T13:57:00Z</dcterms:created>
  <dc:creator>New York Office</dc:creator>
  <dc:description/>
  <dc:language>en-CA</dc:language>
  <cp:lastModifiedBy>New York Office</cp:lastModifiedBy>
  <cp:lastPrinted>2001-02-09T13:17:00Z</cp:lastPrinted>
  <dcterms:modified xsi:type="dcterms:W3CDTF">2001-02-09T13:57:00Z</dcterms:modified>
  <cp:revision>2</cp:revision>
  <dc:subject/>
  <dc:title>Draft 2/8/01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#869029</vt:lpwstr>
  </property>
  <property fmtid="{D5CDD505-2E9C-101B-9397-08002B2CF9AE}" pid="5" name="DocVersion">
    <vt:lpwstr> v1]</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#869029</vt:lpwstr>
  </property>
  <property fmtid="{D5CDD505-2E9C-101B-9397-08002B2CF9AE}" pid="10" name="SaveDocVersion">
    <vt:lpwstr> v1]</vt:lpwstr>
  </property>
  <property fmtid="{D5CDD505-2E9C-101B-9397-08002B2CF9AE}" pid="11" name="SaveFooterRightSideText">
    <vt:lpwstr> </vt:lpwstr>
  </property>
  <property fmtid="{D5CDD505-2E9C-101B-9397-08002B2CF9AE}" pid="12" name="iManageFooter">
    <vt:lpwstr>AllPages</vt:lpwstr>
  </property>
</Properties>
</file>