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sz w:val="24"/>
        </w:rPr>
      </w:pPr>
      <w:r>
        <w:rPr>
          <w:sz w:val="24"/>
        </w:rPr>
        <w:t>Enron specifically agrees that this Agreement may be assigned by Quaker to PepsiCo or one of its affiliated companies without Supplier’s consent upon the completion, including full closing, of a purchase of or merger with Quaker by PepsiCo.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2001-01-08T17:41:00Z</dcterms:created>
  <dc:creator>naughst</dc:creator>
  <dc:description/>
  <dc:language>en-CA</dc:language>
  <cp:lastModifiedBy/>
  <cp:revision>1</cp:revision>
  <dc:subject/>
  <dc:title/>
</cp:coreProperties>
</file>