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450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450"/>
      </w:tblGrid>
      <w:tr>
        <w:trPr/>
        <w:tc>
          <w:tcPr>
            <w:tcW w:w="6450" w:type="dxa"/>
            <w:tcBorders/>
          </w:tcPr>
          <w:p>
            <w:pPr>
              <w:pStyle w:val="Normal"/>
              <w:spacing w:before="0" w:after="24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heading1"/>
              </w:rPr>
              <w:t>Notice</w:t>
            </w:r>
            <w:r>
              <w:rPr>
                <w:rFonts w:cs="Arial" w:ascii="Arial" w:hAnsi="Arial"/>
                <w:sz w:val="18"/>
                <w:szCs w:val="18"/>
              </w:rPr>
              <w:br/>
            </w: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623570" cy="9525"/>
                  <wp:effectExtent l="0" t="0" r="0" b="0"/>
                  <wp:docPr id="1" name="headline_line_pixel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line_line_pixel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sz w:val="18"/>
                <w:szCs w:val="18"/>
              </w:rPr>
              <w:br/>
              <w:br/>
              <w:t>EnronOnline is now available to our customers to transact only in order to provide a means to manage Enron credit exposure. While transactions may be available, customers entering into transactions should carefully evaluate their positions and Enron's current credit status before transacting. By entering into a transaction, customers are agreeing that the foregoing shall supercede any inconsistent representations made by Enron in any agreements between Enron and such customer.</w:t>
            </w:r>
          </w:p>
        </w:tc>
      </w:tr>
      <w:tr>
        <w:trPr/>
        <w:tc>
          <w:tcPr>
            <w:tcW w:w="6450" w:type="dxa"/>
            <w:tcBorders/>
            <w:vAlign w:val="center"/>
          </w:tcPr>
          <w:p>
            <w:pPr>
              <w:pStyle w:val="Normal"/>
              <w:snapToGrid w:val="false"/>
              <w:spacing w:before="0" w:after="240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ing1">
    <w:name w:val="heading1"/>
    <w:basedOn w:val="DefaultParagraphFont"/>
    <w:qFormat/>
    <w:rPr>
      <w:rFonts w:ascii="Arial" w:hAnsi="Arial" w:cs="Arial"/>
      <w:b/>
      <w:bCs/>
      <w:color w:val="00003F"/>
      <w:sz w:val="29"/>
      <w:szCs w:val="29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2001-11-29T13:58:00Z</dcterms:created>
  <dc:creator>mlokay</dc:creator>
  <dc:description/>
  <dc:language>en-CA</dc:language>
  <cp:lastModifiedBy/>
  <cp:revision>1</cp:revision>
  <dc:subject/>
  <dc:title/>
</cp:coreProperties>
</file>