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ind w:firstLine="1440" w:start="0"/>
        <w:outlineLvl w:val="0"/>
        <w:rPr>
          <w:b/>
        </w:rPr>
      </w:pPr>
      <w:r>
        <w:rPr>
          <w:b/>
        </w:rPr>
        <w:t>POSITION ON THE ROLE OF THE ELECTRIC OVERSIGHT BOARD</w:t>
      </w:r>
    </w:p>
    <w:p>
      <w:pPr>
        <w:pStyle w:val="BodyText"/>
        <w:ind w:hanging="0" w:end="0"/>
        <w:rPr/>
      </w:pPr>
      <w:r>
        <w:rPr/>
      </w:r>
    </w:p>
    <w:p>
      <w:pPr>
        <w:pStyle w:val="BodyText"/>
        <w:numPr>
          <w:ilvl w:val="0"/>
          <w:numId w:val="3"/>
        </w:numPr>
        <w:tabs>
          <w:tab w:val="clear" w:pos="720"/>
          <w:tab w:val="left" w:pos="1080" w:leader="none"/>
        </w:tabs>
        <w:ind w:hanging="360" w:start="1080" w:end="0"/>
        <w:rPr/>
      </w:pPr>
      <w:r>
        <w:rPr/>
        <w:t>The Electric Oversight Board (EOB) does not have statutory authorization to engage in power purchases.  Sections 334-341.5 provide that the EOB’s role shall be to supervise the operation of the Independent System Operator and the Power Exchange, and to function as an appellate body related to decisions of those entities which are within the realm of state jurisdiction.  There is no authorization to purchase power for any group of customers or on behalf of any utility.</w:t>
      </w:r>
    </w:p>
    <w:p>
      <w:pPr>
        <w:pStyle w:val="BodyText"/>
        <w:numPr>
          <w:ilvl w:val="0"/>
          <w:numId w:val="3"/>
        </w:numPr>
        <w:tabs>
          <w:tab w:val="clear" w:pos="720"/>
          <w:tab w:val="left" w:pos="1080" w:leader="none"/>
        </w:tabs>
        <w:ind w:hanging="360" w:start="1080" w:end="0"/>
        <w:rPr/>
      </w:pPr>
      <w:r>
        <w:rPr/>
        <w:t>If the EOB were to enter into power purchase contracts with generators, and then bid or offer that power into the wholesale markets, it would create a substantial conflict of interest in its role as overseer of the ISO and PX.  It would be both a client and participant in the markets it is empowered to oversee.</w:t>
      </w:r>
    </w:p>
    <w:p>
      <w:pPr>
        <w:pStyle w:val="BodyText"/>
        <w:numPr>
          <w:ilvl w:val="0"/>
          <w:numId w:val="3"/>
        </w:numPr>
        <w:tabs>
          <w:tab w:val="clear" w:pos="720"/>
          <w:tab w:val="left" w:pos="1080" w:leader="none"/>
        </w:tabs>
        <w:ind w:hanging="360" w:start="1080" w:end="0"/>
        <w:rPr/>
      </w:pPr>
      <w:r>
        <w:rPr/>
        <w:t>The EOB has become involved in the inquiries in the price spikes in the wholesale power markets this summer.  The EOB would create yet another substantial conflict of interest if it were to begin to engage in wholesale power transactions while engaged in an investigation of other participants in the wholesale market, who would now be in the status of competitors of the EOB.</w:t>
      </w:r>
    </w:p>
    <w:p>
      <w:pPr>
        <w:pStyle w:val="BodyText"/>
        <w:numPr>
          <w:ilvl w:val="0"/>
          <w:numId w:val="3"/>
        </w:numPr>
        <w:tabs>
          <w:tab w:val="clear" w:pos="720"/>
          <w:tab w:val="left" w:pos="1080" w:leader="none"/>
        </w:tabs>
        <w:spacing w:before="0" w:after="240"/>
        <w:ind w:hanging="360" w:start="1080" w:end="0"/>
        <w:rPr/>
      </w:pPr>
      <w:r>
        <w:rPr/>
        <w:t>The EOB is not staffed and has no expertise in wholesale power contracting, or managing generation.  It is not the appropriate body to contract with generators.  More to the point, if generators making use of expedited CEC siting procedures are limited to sales into the ISO replacement reserve power market, there is no need for them to have a contract with any purchasing entity other than the ISO.</w:t>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2"/>
    <w:docVar w:name="zzmpFixedDOC_ID" w:val="DOCUMENT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2000-08-30T13:08:00Z</dcterms:created>
  <dc:creator>Michael B. Day</dc:creator>
  <dc:description/>
  <dc:language>en-CA</dc:language>
  <cp:lastModifiedBy/>
  <cp:lastPrinted>2000-08-30T08:55:00Z</cp:lastPrinted>
  <cp:revision>1</cp:revision>
  <dc:subject/>
  <dc:title/>
</cp:coreProperties>
</file>