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TradersNews Market Commentary: Cinergy Dailies Print Higher Than Bal Week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By Suzanna Strangmeier and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Bobette Riner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TradersNews Power Markets Analysts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BodyTextIndent2"/>
        <w:rPr/>
      </w:pPr>
      <w:r>
        <w:rPr>
          <w:rFonts w:eastAsia="Roman 10cpi;Times New Roman" w:cs="Roman 10cpi;Times New Roman" w:ascii="Roman 10cpi;Times New Roman" w:hAnsi="Roman 10cpi;Times New Roman"/>
        </w:rPr>
        <w:t xml:space="preserve">   </w:t>
      </w:r>
      <w:r>
        <w:rPr>
          <w:rFonts w:cs="Roman 10cpi;Times New Roman" w:ascii="Roman 10cpi;Times New Roman" w:hAnsi="Roman 10cpi;Times New Roman"/>
        </w:rPr>
        <w:t>HOUSTON — &lt;B&gt;Cinergy&lt;/B&gt; hub dailies for Friday settled at $50.97, $1.36 below the previous day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average, and $4.37 above balance-of-the-week deals done Monday, which averaged $46.60.  Bal-week deals moved up 80c and almost doubled in volume by mid-week from Monday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volume, but failed to hook up with actual daily prices.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End-of-the-week daily volume also fell off from 10,300 MW Monday to 6,500 MW for the last day of the week. The weekly next-day average printed at $50.38.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Friday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February average moved up $4.80 to $51.49. February traded $3 either side of $50 during the week, peaking early-and late-week with trough prices close to $47. The weekly prompt-month average registered at $50.14.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Friday March deals moved up $2.70 to $48.55. During the week, the instrument moved in the mid-to-upper $40s. The weekly March average settled at $47.98.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Cinergy players and sideliners said early-week downward market activity moved on milder temperatures. By mid-week, slightly softer gas prices were cited as well. Despite milder temperatures, players said gas prices were still strong and the loss of AEP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 xml:space="preserve">s 1,133-MW Cook 2 nuke </w:t>
      </w:r>
      <w:r>
        <w:rPr>
          <w:rFonts w:cs="Roman 10cpi;Times New Roman" w:ascii="Roman 10cpi;Times New Roman" w:hAnsi="Roman 10cpi;Times New Roman"/>
        </w:rPr>
        <w:t>because</w:t>
      </w:r>
      <w:r>
        <w:rPr>
          <w:rFonts w:cs="Roman 10cpi;Times New Roman" w:ascii="Roman 10cpi;Times New Roman" w:hAnsi="Roman 10cpi;Times New Roman"/>
        </w:rPr>
        <w:t xml:space="preserve"> of a hot standby on Jan. 23 helped sustain $50 power. The unit remained at zero percent late Thursday.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Some term traders said conflicting long-range forecasts put a kink in their strategies of how to assess their positions. Gas prices falling from close to $8 early in the week to closer to $7 later in the week also revealed trends in market behavior.</w:t>
      </w:r>
    </w:p>
    <w:p>
      <w:pPr>
        <w:pStyle w:val="BodyTextIndent2"/>
        <w:rPr>
          <w:rFonts w:ascii="Roman 10cpi;Times New Roman" w:hAnsi="Roman 10cpi;Times New Roman" w:cs="Roman 10cpi;Times New Roman"/>
          <w:b/>
          <w:bCs/>
        </w:rPr>
      </w:pPr>
      <w:r>
        <w:rPr>
          <w:rFonts w:cs="Roman 10cpi;Times New Roman" w:ascii="Roman 10cpi;Times New Roman" w:hAnsi="Roman 10cpi;Times New Roman"/>
          <w:b/>
          <w:bCs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&lt;B&gt;Entergy&lt;/B&gt; dailies inched up $2 to an average of $54.18. The weekly daily average perched at $55.79.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Daily prices remained strong until the return of Entergy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943-MW Arkansas 2 nuke on Jan. 25 after ending close to 12 days of maintenance.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February deals climbed $4.08, to $56.78. The weekly average is $56.07.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Times New Roman" w:ascii="Times New Roman" w:hAnsi="Times New Roman"/>
        </w:rPr>
        <w:t xml:space="preserve">In the hourly markets, shorts at the Cinergy hub drove up hourly prices to about $90 early Thursday. </w:t>
      </w:r>
      <w:r>
        <w:rPr>
          <w:rFonts w:cs="Roman 10cpi;Times New Roman" w:ascii="Roman 10cpi;Times New Roman" w:hAnsi="Roman 10cpi;Times New Roman"/>
        </w:rPr>
        <w:t xml:space="preserve"> &lt;B&gt;PJM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s&lt;/B&gt; locational marginal pricing ran up past  $100 for hour ending 12 EST, double anything else within a 24-hour period in the region.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highest hourly prices were seen for hour ending 17 CST when $70s were done at Cinergy and power could have sold for $75-$80 in Florida. "If you can get it there," a trader said, "there's no SoCo transmission to be had."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Times New Roman" w:ascii="Times New Roman" w:hAnsi="Times New Roman"/>
        </w:rPr>
        <w:t>Late Wednesday, off-peak hourly transactions moved in size all night. Much moved southward from northern ECAR -- to satisfy high loads created by cold customers -- yet prices were in the high teens to the low $20s.</w:t>
      </w:r>
      <w:r>
        <w:rPr/>
        <w:t xml:space="preserve"> </w:t>
      </w:r>
    </w:p>
    <w:p>
      <w:pPr>
        <w:pStyle w:val="BodyTextIndent2"/>
        <w:rPr>
          <w:rFonts w:ascii="Roman 10cpi;Times New Roman" w:hAnsi="Roman 10cpi;Times New Roman" w:cs="Roman 10cpi;Times New Roman"/>
          <w:b/>
          <w:bCs/>
        </w:rPr>
      </w:pPr>
      <w:r>
        <w:rPr>
          <w:rFonts w:cs="Roman 10cpi;Times New Roman" w:ascii="Roman 10cpi;Times New Roman" w:hAnsi="Roman 10cpi;Times New Roman"/>
          <w:b/>
          <w:bCs/>
        </w:rPr>
      </w:r>
    </w:p>
    <w:p>
      <w:pPr>
        <w:pStyle w:val="BodyText2"/>
        <w:rPr/>
      </w:pPr>
      <w:r>
        <w:rPr>
          <w:rFonts w:eastAsia="Roman 10cpi;Times New Roman"/>
        </w:rPr>
        <w:t xml:space="preserve">    </w:t>
      </w:r>
      <w:r>
        <w:rPr/>
        <w:t>&lt;I&gt;Comments? E-mail &lt;a href=mailto:bobette.riner@ipgdirect.com&gt;Bobette Riner&lt;/a&gt;, or call her at 713-647-8690. E-mail &lt;a href=mailto:ellen.clardy@ipgdirect.com&gt;Ellen Clardy&lt;/a&gt;, or call her at 713-647-6603. E-mail &lt;a href=mailto:suzanna.strangmeier@ipgdirect.com&gt;Suzanna Strangmeier&lt;/a&gt;, or call her at 713-647-7325.</w:t>
        <w:br/>
      </w:r>
    </w:p>
    <w:p>
      <w:pPr>
        <w:pStyle w:val="BodyText2"/>
        <w:rPr/>
      </w:pPr>
      <w:r>
        <w:rPr/>
        <w:t>&lt;/I&gt;</w:t>
      </w:r>
    </w:p>
    <w:p>
      <w:pPr>
        <w:pStyle w:val="BodyText2"/>
        <w:rPr>
          <w:rFonts w:eastAsia="Arial Unicode MS" w:cs="Arial Unicode MS"/>
        </w:rPr>
      </w:pPr>
      <w:r>
        <w:rPr/>
        <w:t>&lt;a href="</w:t>
      </w:r>
      <w:hyperlink r:id="rId2">
        <w:r>
          <w:rPr>
            <w:rStyle w:val="Hyperlink"/>
          </w:rPr>
          <w:t>http://www.tradersnewsenergy.com</w:t>
        </w:r>
      </w:hyperlink>
      <w:r>
        <w:rPr/>
        <w:t>" target="new"&gt;&lt;I&gt;TradersNews Energy&lt;/I&gt;&lt;/a&gt;™ is a service of Internet Publishing Group, Inc.</w:t>
      </w:r>
    </w:p>
    <w:p>
      <w:pPr>
        <w:pStyle w:val="BodyText2"/>
        <w:rPr/>
      </w:pP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man 10cpi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GregBaber">
    <w:name w:val="Greg Baber"/>
    <w:basedOn w:val="DefaultParagraphFont"/>
    <w:qFormat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Roman 10cpi;Times New Roman" w:hAnsi="Roman 10cpi;Times New Roman" w:cs="Roman 10cpi;Times New Roman"/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energ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2001-01-25T18:07:00Z</dcterms:created>
  <dc:creator>Greg Baber</dc:creator>
  <dc:description/>
  <dc:language>en-CA</dc:language>
  <cp:lastModifiedBy>DATA</cp:lastModifiedBy>
  <cp:lastPrinted>2001-01-25T17:50:00Z</cp:lastPrinted>
  <dcterms:modified xsi:type="dcterms:W3CDTF">2001-01-25T20:50:00Z</dcterms:modified>
  <cp:revision>36</cp:revision>
  <dc:subject/>
  <dc:title>TradersNews Market Commentary: Cinergy Players Feed on Maintenance Season</dc:title>
</cp:coreProperties>
</file>