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476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4320"/>
        <w:gridCol w:w="2520"/>
        <w:gridCol w:w="3150"/>
      </w:tblGrid>
      <w:tr>
        <w:trPr/>
        <w:tc>
          <w:tcPr>
            <w:tcW w:w="147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DIVERSITY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702" w:leader="none"/>
              </w:tabs>
              <w:ind w:hanging="342" w:start="702" w:end="0"/>
              <w:rPr/>
            </w:pPr>
            <w:r>
              <w:rPr>
                <w:b/>
                <w:bCs/>
              </w:rPr>
              <w:t>(1)</w:t>
              <w:tab/>
              <w:t>Need to ensure that minorities and women are provided with opportunities to be successful at Enron and are positioned to be promoted to senior level responsibilities (</w:t>
            </w:r>
            <w:r>
              <w:rPr>
                <w:b/>
                <w:bCs/>
                <w:u w:val="single"/>
              </w:rPr>
              <w:t>i.e.</w:t>
            </w:r>
            <w:r>
              <w:rPr>
                <w:b/>
                <w:bCs/>
              </w:rPr>
              <w:t xml:space="preserve"> level playing field, meritocracy)</w:t>
            </w:r>
          </w:p>
          <w:p>
            <w:pPr>
              <w:pStyle w:val="Normal"/>
              <w:tabs>
                <w:tab w:val="clear" w:pos="720"/>
                <w:tab w:val="left" w:pos="702" w:leader="none"/>
              </w:tabs>
              <w:ind w:start="360" w:end="0"/>
              <w:rPr>
                <w:b/>
                <w:bCs/>
              </w:rPr>
            </w:pPr>
            <w:r>
              <w:rPr>
                <w:b/>
                <w:bCs/>
              </w:rPr>
              <w:t>(2)</w:t>
              <w:tab/>
              <w:t>Mitigate exposure to legal claims of discrimination or even reverse discrimination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Points and Rationale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Action Items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Timeline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Lead(s)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Confirm and articulate the existence of the Company’s challenge, </w:t>
            </w:r>
            <w:r>
              <w:rPr>
                <w:b/>
                <w:bCs/>
                <w:u w:val="single"/>
              </w:rPr>
              <w:t>i.e.</w:t>
            </w:r>
            <w:r>
              <w:rPr>
                <w:b/>
                <w:bCs/>
              </w:rPr>
              <w:t xml:space="preserve"> what the “numbers” are telling us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(Education)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Obtain HR Data/Statistics; Create Metrics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Presentation that “tells the story” for Management Conference, Management Committee, and Enron’s Board of Directors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Available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Early Q4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HR/Diversity Subcommittee</w:t>
            </w:r>
          </w:p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b/>
                <w:bCs/>
              </w:rPr>
            </w:pPr>
            <w:r>
              <w:rPr>
                <w:b/>
                <w:bCs/>
              </w:rPr>
              <w:t>Communicate Company’s commitment to recruit and retain the most qualified and talented minorities and women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(Communication)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rPr/>
            </w:pPr>
            <w:r>
              <w:rPr/>
              <w:t>Develop a formalized campaign as to the Company’s commitment to be a leader in diversity hiring and promotion opportunities</w:t>
            </w:r>
          </w:p>
          <w:p>
            <w:pPr>
              <w:pStyle w:val="Normal"/>
              <w:numPr>
                <w:ilvl w:val="0"/>
                <w:numId w:val="24"/>
              </w:numPr>
              <w:rPr/>
            </w:pPr>
            <w:r>
              <w:rPr/>
              <w:t>Highlight success stories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Diversity Subcommittee/HR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Establish Diversity accountability standards and reward mechanisms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(Accountability)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Maintain HR metrics to measure Company’s Performance and regularly communicate status with MC</w:t>
            </w:r>
          </w:p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Use PRC to identify “Rising Stars” and to assess senior-level performance; create opportunities for exposure before MC</w:t>
            </w:r>
          </w:p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Participate in Fortune 500 top 50 companies for minorities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rPr/>
            </w:pPr>
            <w:r>
              <w:rPr/>
              <w:t>Q4; Ongoing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YE 2001 PRC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2003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1"/>
              </w:numPr>
              <w:rPr/>
            </w:pPr>
            <w:r>
              <w:rPr/>
              <w:t>Diversity Subcommittee/HR</w:t>
            </w:r>
          </w:p>
          <w:p>
            <w:pPr>
              <w:pStyle w:val="Normal"/>
              <w:numPr>
                <w:ilvl w:val="0"/>
                <w:numId w:val="28"/>
              </w:numPr>
              <w:rPr/>
            </w:pPr>
            <w:r>
              <w:rPr/>
              <w:t>Diversity Subcommittee/HR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2"/>
              </w:numPr>
              <w:rPr>
                <w:b/>
                <w:bCs/>
              </w:rPr>
            </w:pPr>
            <w:r>
              <w:rPr>
                <w:b/>
                <w:bCs/>
              </w:rPr>
              <w:t>Identify and enhance the resources available to meet Diversity challenges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start="360" w:end="0"/>
              <w:rPr/>
            </w:pPr>
            <w:r>
              <w:rPr/>
              <w:t>- Provide tools for success</w:t>
            </w:r>
          </w:p>
          <w:p>
            <w:pPr>
              <w:pStyle w:val="Normal"/>
              <w:ind w:start="360" w:end="0"/>
              <w:rPr/>
            </w:pPr>
            <w:r>
              <w:rPr/>
              <w:t>- Speak with one voice both internally and externally regarding Diversity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(Resources)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7"/>
              </w:numPr>
              <w:rPr/>
            </w:pPr>
            <w:r>
              <w:rPr/>
              <w:t>Create a mentoring program for all employees (</w:t>
            </w:r>
            <w:r>
              <w:rPr>
                <w:u w:val="single"/>
              </w:rPr>
              <w:t>i.e.</w:t>
            </w:r>
            <w:r>
              <w:rPr/>
              <w:t xml:space="preserve"> Buddy/Volunteer, Pre-arranged, Hybrid, Formal/Informal)</w:t>
            </w:r>
          </w:p>
          <w:p>
            <w:pPr>
              <w:pStyle w:val="Normal"/>
              <w:numPr>
                <w:ilvl w:val="0"/>
                <w:numId w:val="27"/>
              </w:numPr>
              <w:rPr/>
            </w:pPr>
            <w:r>
              <w:rPr/>
              <w:t>Partnering of internal efforts via “Diversity Board of Directors” (</w:t>
            </w:r>
            <w:r>
              <w:rPr>
                <w:u w:val="single"/>
              </w:rPr>
              <w:t>i.e.</w:t>
            </w:r>
            <w:r>
              <w:rPr/>
              <w:t xml:space="preserve"> MWBE, Stakeholders, A/A program, HR, Legal)</w:t>
            </w:r>
          </w:p>
          <w:p>
            <w:pPr>
              <w:pStyle w:val="Normal"/>
              <w:numPr>
                <w:ilvl w:val="0"/>
                <w:numId w:val="27"/>
              </w:numPr>
              <w:rPr/>
            </w:pPr>
            <w:r>
              <w:rPr/>
              <w:t>Creation of external relationships via “Diversity Board of Directors” (</w:t>
            </w:r>
            <w:r>
              <w:rPr>
                <w:u w:val="single"/>
              </w:rPr>
              <w:t>i.e.</w:t>
            </w:r>
            <w:r>
              <w:rPr/>
              <w:t xml:space="preserve"> NAACP, NABMBA, NSHMBA)</w:t>
            </w:r>
          </w:p>
          <w:p>
            <w:pPr>
              <w:pStyle w:val="Normal"/>
              <w:numPr>
                <w:ilvl w:val="0"/>
                <w:numId w:val="27"/>
              </w:numPr>
              <w:rPr/>
            </w:pPr>
            <w:r>
              <w:rPr/>
              <w:t>Develop and Implement Training Tools</w:t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ab/>
              <w:t>(Web capabilities)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2002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2002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>2002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2002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3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Diversity Subcommittee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Diversity Subcommittee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t>September 5, 2001</w:t>
      </w:r>
    </w:p>
    <w:sectPr>
      <w:type w:val="nextPage"/>
      <w:pgSz w:orient="landscape" w:w="15840" w:h="12240"/>
      <w:pgMar w:left="1440" w:right="630" w:gutter="0" w:header="0" w:top="126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2001-07-27T17:47:00Z</dcterms:created>
  <dc:creator>kmcdani</dc:creator>
  <dc:description/>
  <dc:language>en-CA</dc:language>
  <cp:lastModifiedBy>dforsyt</cp:lastModifiedBy>
  <cp:lastPrinted>2001-09-25T13:25:00Z</cp:lastPrinted>
  <dcterms:modified xsi:type="dcterms:W3CDTF">2001-09-25T16:14:00Z</dcterms:modified>
  <cp:revision>19</cp:revision>
  <dc:subject/>
  <dc:title> Points</dc:title>
</cp:coreProperties>
</file>