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spacing w:lineRule="auto" w:line="360"/>
        <w:ind w:hanging="0" w:start="0"/>
        <w:rPr/>
      </w:pPr>
      <w:r>
        <w:rPr/>
        <w:t>Dispute Research Protocol</w:t>
      </w:r>
    </w:p>
    <w:p>
      <w:pPr>
        <w:pStyle w:val="Normal"/>
        <w:spacing w:lineRule="auto" w:line="360"/>
        <w:rPr/>
      </w:pPr>
      <w:r>
        <w:rPr/>
      </w:r>
    </w:p>
    <w:p>
      <w:pPr>
        <w:pStyle w:val="Normal"/>
        <w:spacing w:lineRule="auto" w:line="360"/>
        <w:rPr/>
      </w:pPr>
      <w:r>
        <w:rPr/>
        <w:t>In order to effectively and exhaustively research disputes filed by other counterparties, the following items need to be referenced. If, after looking at the following documents and reports, a reliable conclusion is not reached, the information should be passed along to either the trader or trading support. When a DMS is filed related to the Real Time group, please check:</w:t>
      </w:r>
    </w:p>
    <w:p>
      <w:pPr>
        <w:pStyle w:val="Normal"/>
        <w:spacing w:lineRule="auto" w:line="360"/>
        <w:rPr/>
      </w:pPr>
      <w:r>
        <w:rPr/>
      </w:r>
    </w:p>
    <w:p>
      <w:pPr>
        <w:pStyle w:val="Normal"/>
        <w:numPr>
          <w:ilvl w:val="0"/>
          <w:numId w:val="2"/>
        </w:numPr>
        <w:spacing w:lineRule="auto" w:line="360"/>
        <w:rPr/>
      </w:pPr>
      <w:r>
        <w:rPr/>
        <w:t>Enpower – both Deal Entry &amp; Scheduling (CARP/SAR produce same info.)</w:t>
      </w:r>
    </w:p>
    <w:p>
      <w:pPr>
        <w:pStyle w:val="Normal"/>
        <w:numPr>
          <w:ilvl w:val="0"/>
          <w:numId w:val="2"/>
        </w:numPr>
        <w:spacing w:lineRule="auto" w:line="360"/>
        <w:rPr/>
      </w:pPr>
      <w:r>
        <w:rPr/>
        <w:t>Inc sheets – both Trading &amp; Services</w:t>
      </w:r>
    </w:p>
    <w:p>
      <w:pPr>
        <w:pStyle w:val="Normal"/>
        <w:numPr>
          <w:ilvl w:val="0"/>
          <w:numId w:val="2"/>
        </w:numPr>
        <w:spacing w:lineRule="auto" w:line="360"/>
        <w:rPr/>
      </w:pPr>
      <w:r>
        <w:rPr/>
        <w:t>Audit Viewer to determine actual trader</w:t>
      </w:r>
    </w:p>
    <w:p>
      <w:pPr>
        <w:pStyle w:val="Normal"/>
        <w:numPr>
          <w:ilvl w:val="0"/>
          <w:numId w:val="2"/>
        </w:numPr>
        <w:spacing w:lineRule="auto" w:line="360"/>
        <w:rPr/>
      </w:pPr>
      <w:r>
        <w:rPr/>
        <w:t>Trader’s logbook and notes</w:t>
      </w:r>
    </w:p>
    <w:p>
      <w:pPr>
        <w:pStyle w:val="Normal"/>
        <w:numPr>
          <w:ilvl w:val="0"/>
          <w:numId w:val="2"/>
        </w:numPr>
        <w:spacing w:lineRule="auto" w:line="360"/>
        <w:rPr/>
      </w:pPr>
      <w:r>
        <w:rPr/>
        <w:t>CAPS and Enpower-to-CAPS report if trade occurred in CA</w:t>
      </w:r>
    </w:p>
    <w:p>
      <w:pPr>
        <w:pStyle w:val="Normal"/>
        <w:numPr>
          <w:ilvl w:val="0"/>
          <w:numId w:val="2"/>
        </w:numPr>
        <w:spacing w:lineRule="auto" w:line="360"/>
        <w:rPr/>
      </w:pPr>
      <w:r>
        <w:rPr/>
        <w:t>Day-ahead EES variance if dispute is related to EES</w:t>
      </w:r>
    </w:p>
    <w:p>
      <w:pPr>
        <w:pStyle w:val="Normal"/>
        <w:numPr>
          <w:ilvl w:val="0"/>
          <w:numId w:val="2"/>
        </w:numPr>
        <w:spacing w:lineRule="auto" w:line="360"/>
        <w:rPr/>
      </w:pPr>
      <w:r>
        <w:rPr/>
        <w:t>El Paso Schedules notebook, El Paso model, and printed El Paso CARP if dispute is related to EPE</w:t>
      </w:r>
    </w:p>
    <w:p>
      <w:pPr>
        <w:pStyle w:val="Normal"/>
        <w:numPr>
          <w:ilvl w:val="0"/>
          <w:numId w:val="2"/>
        </w:numPr>
        <w:spacing w:lineRule="auto" w:line="360"/>
        <w:rPr/>
      </w:pPr>
      <w:r>
        <w:rPr/>
        <w:t>Services notebook and Services traders if dispute is related to Services customers</w:t>
      </w:r>
    </w:p>
    <w:p>
      <w:pPr>
        <w:pStyle w:val="Normal"/>
        <w:numPr>
          <w:ilvl w:val="0"/>
          <w:numId w:val="2"/>
        </w:numPr>
        <w:spacing w:lineRule="auto" w:line="360"/>
        <w:rPr/>
      </w:pPr>
      <w:r>
        <w:rPr/>
        <w:t>Bloomberg, APX, or EOL historical information if disputed trade was done with broker</w:t>
      </w:r>
    </w:p>
    <w:p>
      <w:pPr>
        <w:pStyle w:val="Normal"/>
        <w:spacing w:lineRule="auto" w:line="360"/>
        <w:rPr/>
      </w:pPr>
      <w:r>
        <w:rPr/>
      </w:r>
    </w:p>
    <w:p>
      <w:pPr>
        <w:pStyle w:val="Normal"/>
        <w:spacing w:lineRule="auto" w:line="360"/>
        <w:rPr/>
      </w:pPr>
      <w:r>
        <w:rPr/>
        <w:t xml:space="preserve">Please refer disputes originated by El Paso Electric, Montana Power Co., and Enron Energy Services to Real Time Trading Support person. When above items have been referenced, please work with Real Time support to implement conclusive action or provide this person with all inconclusive information. </w:t>
      </w:r>
    </w:p>
    <w:p>
      <w:pPr>
        <w:pStyle w:val="Normal"/>
        <w:spacing w:lineRule="auto" w:line="360"/>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West Real Time Trading</w:t>
    </w:r>
  </w:p>
  <w:p>
    <w:pPr>
      <w:pStyle w:val="Header"/>
      <w:rPr/>
    </w:pPr>
    <w:r>
      <w:rPr/>
      <w:t>Kate Symes</w:t>
    </w:r>
  </w:p>
  <w:p>
    <w:pPr>
      <w:pStyle w:val="Header"/>
      <w:rPr/>
    </w:pPr>
    <w:r>
      <w:rPr/>
      <w:t>8/15/01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080"/>
        </w:tabs>
        <w:ind w:start="108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32"/>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2001-08-15T13:24:00Z</dcterms:created>
  <dc:creator>Kate Symes</dc:creator>
  <dc:description/>
  <dc:language>en-CA</dc:language>
  <cp:lastModifiedBy>Kate Symes</cp:lastModifiedBy>
  <dcterms:modified xsi:type="dcterms:W3CDTF">2001-08-15T14:11:00Z</dcterms:modified>
  <cp:revision>1</cp:revision>
  <dc:subject/>
  <dc:title>Dispute Research Protocol</dc:title>
</cp:coreProperties>
</file>