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Date:</w:t>
        <w:tab/>
        <w:tab/>
        <w:tab/>
        <w:tab/>
        <w:t>June 1, 1999</w:t>
      </w:r>
    </w:p>
    <w:p>
      <w:pPr>
        <w:pStyle w:val="Normal"/>
        <w:widowControl/>
        <w:rPr>
          <w:sz w:val="22"/>
          <w:u w:val="single"/>
        </w:rPr>
      </w:pPr>
      <w:r>
        <w:rPr>
          <w:sz w:val="22"/>
          <w:u w:val="single"/>
        </w:rPr>
      </w:r>
    </w:p>
    <w:p>
      <w:pPr>
        <w:pStyle w:val="Normal"/>
        <w:widowControl/>
        <w:rPr>
          <w:sz w:val="22"/>
        </w:rPr>
      </w:pPr>
      <w:r>
        <w:rPr>
          <w:sz w:val="22"/>
        </w:rPr>
        <w:t>To:</w:t>
        <w:tab/>
        <w:tab/>
        <w:tab/>
        <w:tab/>
        <w:t>The Dispatch Printing Company (“Party B”)</w:t>
      </w:r>
    </w:p>
    <w:p>
      <w:pPr>
        <w:pStyle w:val="Normal"/>
        <w:widowControl/>
        <w:rPr>
          <w:sz w:val="22"/>
        </w:rPr>
      </w:pPr>
      <w:r>
        <w:rPr>
          <w:sz w:val="22"/>
        </w:rPr>
      </w:r>
    </w:p>
    <w:p>
      <w:pPr>
        <w:pStyle w:val="Normal"/>
        <w:widowControl/>
        <w:rPr>
          <w:sz w:val="22"/>
        </w:rPr>
      </w:pPr>
      <w:r>
        <w:rPr>
          <w:sz w:val="22"/>
        </w:rPr>
        <w:t xml:space="preserve">Attention: </w:t>
        <w:tab/>
        <w:tab/>
        <w:tab/>
        <w:t>Ed Goodyear</w:t>
      </w:r>
    </w:p>
    <w:p>
      <w:pPr>
        <w:pStyle w:val="Normal"/>
        <w:widowControl/>
        <w:rPr>
          <w:sz w:val="22"/>
        </w:rPr>
      </w:pPr>
      <w:r>
        <w:rPr>
          <w:sz w:val="22"/>
        </w:rPr>
      </w:r>
    </w:p>
    <w:p>
      <w:pPr>
        <w:pStyle w:val="Normal"/>
        <w:widowControl/>
        <w:rPr>
          <w:sz w:val="22"/>
        </w:rPr>
      </w:pPr>
      <w:r>
        <w:rPr>
          <w:sz w:val="22"/>
        </w:rPr>
        <w:t>Fax Number:</w:t>
        <w:tab/>
        <w:tab/>
        <w:tab/>
        <w:t>614-461-5140</w:t>
      </w:r>
    </w:p>
    <w:p>
      <w:pPr>
        <w:pStyle w:val="Normal"/>
        <w:widowControl/>
        <w:rPr>
          <w:sz w:val="22"/>
        </w:rPr>
      </w:pPr>
      <w:r>
        <w:rPr>
          <w:sz w:val="22"/>
        </w:rPr>
      </w:r>
    </w:p>
    <w:p>
      <w:pPr>
        <w:pStyle w:val="Normal"/>
        <w:widowControl/>
        <w:rPr>
          <w:sz w:val="22"/>
        </w:rPr>
      </w:pPr>
      <w:r>
        <w:rPr>
          <w:sz w:val="22"/>
        </w:rPr>
        <w:t>From:</w:t>
        <w:tab/>
        <w:tab/>
        <w:tab/>
        <w:tab/>
        <w:t>Enron Capital &amp; Trade Resources Corp. (“Party A”)</w:t>
      </w:r>
    </w:p>
    <w:p>
      <w:pPr>
        <w:pStyle w:val="Normal"/>
        <w:widowControl/>
        <w:rPr>
          <w:sz w:val="22"/>
        </w:rPr>
      </w:pPr>
      <w:r>
        <w:rPr>
          <w:sz w:val="22"/>
        </w:rPr>
      </w:r>
    </w:p>
    <w:p>
      <w:pPr>
        <w:pStyle w:val="Normal"/>
        <w:widowControl/>
        <w:rPr>
          <w:sz w:val="22"/>
        </w:rPr>
      </w:pPr>
      <w:r>
        <w:rPr>
          <w:sz w:val="22"/>
        </w:rPr>
        <w:t>Re:</w:t>
        <w:tab/>
        <w:tab/>
        <w:tab/>
        <w:tab/>
        <w:t>Commodity Swap, ECT Deal No. EX5442.1</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pPr>
      <w:r>
        <w:rPr>
          <w:sz w:val="22"/>
        </w:rPr>
        <w:t>1.</w:t>
        <w:tab/>
        <w:t>This Confirmation supplements, forms part of, and is subject to the ISDA Master Agreement dated as of June 1, 1999</w:t>
      </w:r>
      <w:r>
        <w:rPr>
          <w:b/>
          <w:sz w:val="22"/>
        </w:rPr>
        <w:t>,</w:t>
      </w:r>
      <w:r>
        <w:rPr>
          <w:sz w:val="22"/>
        </w:rPr>
        <w:t xml:space="preserve">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w:t>
        <w:tab/>
        <w:t>The terms of the particular Transaction to which this Confirmation relates are as follows:</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pPr>
            <w:r>
              <w:rPr>
                <w:color w:val="000000"/>
                <w:sz w:val="22"/>
              </w:rPr>
              <w:t>100,020</w:t>
            </w:r>
            <w:r>
              <w:rPr>
                <w:sz w:val="22"/>
              </w:rPr>
              <w:t xml:space="preserve"> Metric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1,667 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Standard 48.8 Gram Newsprint</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June  1,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June 1,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May 31, 2004</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sz w:val="22"/>
              </w:rPr>
            </w:pPr>
            <w:r>
              <w:rPr>
                <w:color w:val="000000"/>
                <w:sz w:val="22"/>
              </w:rPr>
              <w:t>Monthly periods, with the first Calculation Period commencing on June 1, 1999 and the final Calculation Period ending on May 31, 2004</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$567.00 per Metric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pPr>
            <w:r>
              <w:rPr>
                <w:sz w:val="22"/>
              </w:rPr>
              <w:t xml:space="preserve">The Floating Price for each Calculation Period shall be the price per Metric Ton of Standard 48.8 Gram Newsprint, stated in U.S. Dollars, published under the heading “Table 21:  Newsprint Pricing for Standard 48.8 Gram Newsprint:  U.S. Dollars Per Metric Ton, Delivered: Average Transaction Price For All Buyers: East Coast” in the issue of </w:t>
            </w:r>
            <w:r>
              <w:rPr>
                <w:sz w:val="22"/>
                <w:u w:val="single"/>
              </w:rPr>
              <w:t>Paper Trader</w:t>
            </w:r>
            <w:r>
              <w:rPr>
                <w:sz w:val="22"/>
              </w:rPr>
              <w:t xml:space="preserve"> (as defined below)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Paper Trader</w:t>
            </w:r>
            <w:r>
              <w:rPr>
                <w:sz w:val="22"/>
              </w:rPr>
              <w:t>, or any successor publication, published by Resource Information Systems, Inc. or its successor (such publication, the “</w:t>
            </w:r>
            <w:r>
              <w:rPr>
                <w:sz w:val="22"/>
                <w:u w:val="single"/>
              </w:rPr>
              <w:t>Paper Trader</w:t>
            </w:r>
            <w:r>
              <w:rPr>
                <w:sz w:val="22"/>
              </w:rPr>
              <w:t>”) for the applicable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pPr>
            <w:r>
              <w:rPr>
                <w:sz w:val="22"/>
              </w:rPr>
              <w:t xml:space="preserve">The Fallback Reference Price for any Calculation Period shall be the price per Metric Ton of Standard 48.8 Gram Newsprint, stated in U.S. Dollars, published under the heading: “Price Watch: Paper: Grade: Newsprint: 30-lb East Coast” in the issue of  </w:t>
            </w:r>
            <w:r>
              <w:rPr>
                <w:sz w:val="22"/>
                <w:u w:val="single"/>
              </w:rPr>
              <w:t>Pulp &amp; Paper Week</w:t>
            </w:r>
            <w:r>
              <w:rPr>
                <w:sz w:val="22"/>
              </w:rPr>
              <w:t xml:space="preserve"> (or its successor publication, as published by Miller Freeman Inc., or its successor) that reports prices effective on the Pricing Date for such Calculation Period, minus U.S. $10.00 per Metric Ton.</w:t>
            </w:r>
          </w:p>
        </w:tc>
      </w:tr>
    </w:tbl>
    <w:p>
      <w:pPr>
        <w:pStyle w:val="Normal"/>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4788"/>
        <w:gridCol w:w="4770"/>
      </w:tblGrid>
      <w:tr>
        <w:trPr/>
        <w:tc>
          <w:tcPr>
            <w:tcW w:w="4788" w:type="dxa"/>
            <w:tcBorders/>
          </w:tcPr>
          <w:p>
            <w:pPr>
              <w:pStyle w:val="Normal"/>
              <w:rPr/>
            </w:pPr>
            <w:r>
              <w:rPr>
                <w:b/>
                <w:sz w:val="22"/>
              </w:rPr>
              <w:t>Other Credit Provisions:</w:t>
            </w:r>
            <w:r>
              <w:rPr>
                <w:sz w:val="22"/>
              </w:rPr>
              <w:tab/>
              <w:tab/>
              <w:tab/>
              <w:tab/>
            </w:r>
          </w:p>
        </w:tc>
        <w:tc>
          <w:tcPr>
            <w:tcW w:w="4770" w:type="dxa"/>
            <w:tcBorders/>
          </w:tcPr>
          <w:p>
            <w:pPr>
              <w:pStyle w:val="Normal"/>
              <w:jc w:val="both"/>
              <w:rPr>
                <w:sz w:val="22"/>
              </w:rPr>
            </w:pPr>
            <w:r>
              <w:rPr>
                <w:sz w:val="22"/>
              </w:rPr>
              <w:t>As an Independent Amount, as such term is defined in the Credit Support Annex, for this Transaction, on or before 5:00 p.m. (Houston time) on June 4, 1999, Party B shall deliver to Party A a Letter of Credit in the amount of $3,000,000 which Independent Amount shall be maintained in favor of ECT throughout the Term of this Transaction, which Term will expire or be terminated no later than May 31, 2004. Party B’s failure to establish, maintain, renew, substitute or increase such Letter(s) of Credit in accordance with the Agreement shall constitute an Event of Default under Section 5(a)(ii) of the Agreement, provided that for purposes of this provision, the following phrase in Section 5(a)(ii) shall not apply:  “if such failure is not remedied on or before the thirtieth day after notice of such failure is given to the party.”</w:t>
            </w:r>
          </w:p>
        </w:tc>
      </w:tr>
    </w:tbl>
    <w:p>
      <w:pPr>
        <w:pStyle w:val="Normal"/>
        <w:jc w:val="both"/>
        <w:rPr>
          <w:sz w:val="22"/>
        </w:rPr>
      </w:pPr>
      <w:r>
        <w:rPr>
          <w:sz w:val="22"/>
        </w:rPr>
      </w:r>
    </w:p>
    <w:p>
      <w:pPr>
        <w:pStyle w:val="Normal"/>
        <w:widowControl/>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jc w:val="both"/>
        <w:rPr>
          <w:sz w:val="22"/>
        </w:rPr>
      </w:pPr>
      <w:r>
        <w:rPr>
          <w:sz w:val="22"/>
        </w:rPr>
        <w:t>Enron Capital &amp; Trade Resources Corp. is pleased to have entered into this Transaction with you.</w:t>
      </w:r>
    </w:p>
    <w:p>
      <w:pPr>
        <w:pStyle w:val="Normal"/>
        <w:widowControl/>
        <w:jc w:val="both"/>
        <w:rPr>
          <w:sz w:val="22"/>
        </w:rPr>
      </w:pPr>
      <w:r>
        <w:rPr>
          <w:sz w:val="22"/>
        </w:rPr>
      </w:r>
    </w:p>
    <w:p>
      <w:pPr>
        <w:pStyle w:val="Normal"/>
        <w:keepNext w:val="true"/>
        <w:widowControl/>
        <w:ind w:firstLine="720" w:start="4320" w:end="0"/>
        <w:rPr>
          <w:sz w:val="22"/>
        </w:rPr>
      </w:pPr>
      <w:r>
        <w:rPr>
          <w:sz w:val="22"/>
        </w:rPr>
      </w:r>
    </w:p>
    <w:p>
      <w:pPr>
        <w:pStyle w:val="Normal"/>
        <w:keepNext w:val="true"/>
        <w:widowControl/>
        <w:ind w:firstLine="720" w:start="4320" w:end="0"/>
        <w:rPr>
          <w:sz w:val="22"/>
        </w:rPr>
      </w:pPr>
      <w:r>
        <w:rPr>
          <w:sz w:val="22"/>
        </w:rPr>
        <w:t>Yours sincerely,</w:t>
      </w:r>
    </w:p>
    <w:p>
      <w:pPr>
        <w:pStyle w:val="Normal"/>
        <w:keepNext w:val="true"/>
        <w:widowControl/>
        <w:rPr>
          <w:sz w:val="22"/>
        </w:rPr>
      </w:pPr>
      <w:r>
        <w:rPr>
          <w:sz w:val="22"/>
        </w:rPr>
      </w:r>
    </w:p>
    <w:p>
      <w:pPr>
        <w:pStyle w:val="Normal"/>
        <w:keepNext w:val="true"/>
        <w:widowControl/>
        <w:ind w:start="5040" w:end="0"/>
        <w:rPr>
          <w:b/>
          <w:sz w:val="22"/>
        </w:rPr>
      </w:pPr>
      <w:r>
        <w:rPr>
          <w:sz w:val="22"/>
        </w:rPr>
        <w:t>Enron Capital &amp; Trade Resources Corp.</w:t>
      </w:r>
    </w:p>
    <w:p>
      <w:pPr>
        <w:pStyle w:val="Normal"/>
        <w:keepNext w:val="true"/>
        <w:widowControl/>
        <w:rPr>
          <w:b/>
          <w:sz w:val="22"/>
        </w:rPr>
      </w:pPr>
      <w:r>
        <w:rPr>
          <w:b/>
          <w:sz w:val="22"/>
        </w:rPr>
      </w:r>
    </w:p>
    <w:p>
      <w:pPr>
        <w:pStyle w:val="Normal"/>
        <w:keepNext w:val="true"/>
        <w:widowControl/>
        <w:ind w:firstLine="720" w:start="4320" w:end="0"/>
        <w:rPr>
          <w:sz w:val="22"/>
        </w:rPr>
      </w:pPr>
      <w:r>
        <w:rPr>
          <w:sz w:val="22"/>
        </w:rPr>
        <w:t>By:</w:t>
        <w:tab/>
        <w:t>_____________________________</w:t>
      </w:r>
    </w:p>
    <w:p>
      <w:pPr>
        <w:pStyle w:val="Normal"/>
        <w:keepNext w:val="true"/>
        <w:widowControl/>
        <w:ind w:firstLine="720" w:start="4320" w:end="0"/>
        <w:rPr>
          <w:sz w:val="22"/>
        </w:rPr>
      </w:pPr>
      <w:r>
        <w:rPr>
          <w:sz w:val="22"/>
        </w:rPr>
        <w:t>Name:</w:t>
        <w:tab/>
        <w:t>_____________________________</w:t>
      </w:r>
    </w:p>
    <w:p>
      <w:pPr>
        <w:pStyle w:val="Normal"/>
        <w:keepNext w:val="true"/>
        <w:widowControl/>
        <w:ind w:firstLine="720" w:start="4320" w:end="0"/>
        <w:rPr>
          <w:sz w:val="22"/>
        </w:rPr>
      </w:pPr>
      <w:r>
        <w:rPr>
          <w:sz w:val="22"/>
        </w:rPr>
        <w:t>Title:</w:t>
        <w:tab/>
        <w:t>_____________________________</w:t>
      </w:r>
    </w:p>
    <w:p>
      <w:pPr>
        <w:pStyle w:val="Normal"/>
        <w:keepNext w:val="true"/>
        <w:widowControl/>
        <w:rPr>
          <w:sz w:val="22"/>
        </w:rPr>
      </w:pPr>
      <w:r>
        <w:rPr>
          <w:sz w:val="22"/>
        </w:rPr>
      </w:r>
    </w:p>
    <w:p>
      <w:pPr>
        <w:pStyle w:val="Normal"/>
        <w:keepNext w:val="true"/>
        <w:widowControl/>
        <w:rPr>
          <w:sz w:val="22"/>
        </w:rPr>
      </w:pPr>
      <w:r>
        <w:rPr>
          <w:sz w:val="22"/>
        </w:rPr>
        <w:t>Confirmed as of the date first above written:</w:t>
      </w:r>
    </w:p>
    <w:p>
      <w:pPr>
        <w:pStyle w:val="Normal"/>
        <w:keepNext w:val="true"/>
        <w:widowControl/>
        <w:rPr>
          <w:sz w:val="22"/>
        </w:rPr>
      </w:pPr>
      <w:r>
        <w:rPr>
          <w:sz w:val="22"/>
        </w:rPr>
      </w:r>
    </w:p>
    <w:p>
      <w:pPr>
        <w:pStyle w:val="Normal"/>
        <w:keepNext w:val="true"/>
        <w:widowControl/>
        <w:rPr>
          <w:sz w:val="22"/>
        </w:rPr>
      </w:pPr>
      <w:r>
        <w:rPr>
          <w:sz w:val="22"/>
        </w:rPr>
        <w:t>The Dispatch Printing Company</w:t>
      </w:r>
    </w:p>
    <w:p>
      <w:pPr>
        <w:pStyle w:val="Normal"/>
        <w:keepNext w:val="true"/>
        <w:widowControl/>
        <w:rPr>
          <w:sz w:val="22"/>
        </w:rPr>
      </w:pPr>
      <w:r>
        <w:rPr>
          <w:sz w:val="22"/>
        </w:rPr>
      </w:r>
    </w:p>
    <w:p>
      <w:pPr>
        <w:pStyle w:val="Normal"/>
        <w:keepNext w:val="true"/>
        <w:widowControl/>
        <w:rPr>
          <w:sz w:val="22"/>
        </w:rPr>
      </w:pPr>
      <w:r>
        <w:rPr>
          <w:sz w:val="22"/>
        </w:rPr>
        <w:t>By:</w:t>
        <w:tab/>
        <w:t>_____________________________</w:t>
      </w:r>
    </w:p>
    <w:p>
      <w:pPr>
        <w:pStyle w:val="Normal"/>
        <w:keepNext w:val="true"/>
        <w:widowControl/>
        <w:rPr>
          <w:sz w:val="22"/>
        </w:rPr>
      </w:pPr>
      <w:r>
        <w:rPr>
          <w:sz w:val="22"/>
        </w:rPr>
        <w:t>Name:</w:t>
        <w:tab/>
        <w:t>_____________________________</w:t>
      </w:r>
    </w:p>
    <w:p>
      <w:pPr>
        <w:pStyle w:val="Normal"/>
        <w:keepNext w:val="true"/>
        <w:widowControl/>
        <w:rPr>
          <w:sz w:val="22"/>
        </w:rPr>
      </w:pPr>
      <w:r>
        <w:rPr>
          <w:sz w:val="22"/>
        </w:rPr>
        <w:t>Title:</w:t>
        <w:tab/>
        <w:t>_____________________________</w:t>
      </w:r>
    </w:p>
    <w:p>
      <w:pPr>
        <w:pStyle w:val="Normal"/>
        <w:keepNext w:val="true"/>
        <w:widowControl/>
        <w:rPr>
          <w:sz w:val="22"/>
        </w:rPr>
      </w:pPr>
      <w:r>
        <w:rPr>
          <w:sz w:val="22"/>
        </w:rPr>
      </w:r>
    </w:p>
    <w:p>
      <w:pPr>
        <w:pStyle w:val="Normal"/>
        <w:widowControl/>
        <w:rPr>
          <w:b/>
          <w:sz w:val="22"/>
        </w:rPr>
      </w:pPr>
      <w:r>
        <w:rPr>
          <w:b/>
          <w:sz w:val="22"/>
        </w:rPr>
      </w:r>
    </w:p>
    <w:p>
      <w:pPr>
        <w:pStyle w:val="Normal"/>
        <w:keepNext w:val="true"/>
        <w:widowControl/>
        <w:rPr>
          <w:b/>
          <w:sz w:val="22"/>
        </w:rPr>
      </w:pPr>
      <w:r>
        <w:rPr>
          <w:b/>
          <w:sz w:val="22"/>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b/>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61925"/>
                      </a:xfrm>
                      <a:prstGeom prst="rect"/>
                      <a:solidFill>
                        <a:srgbClr val="FFFFFF">
                          <a:alpha val="0"/>
                        </a:srgbClr>
                      </a:solidFill>
                    </wps:spPr>
                    <wps:txbx>
                      <w:txbxContent>
                        <w:p>
                          <w:pPr>
                            <w:pStyle w:val="Footer"/>
                            <w:widowControl/>
                            <w:rPr>
                              <w:rStyle w:val="PageNumber"/>
                              <w:sz w:val="22"/>
                            </w:rPr>
                          </w:pPr>
                          <w:r>
                            <w:rPr/>
                          </w:r>
                        </w:p>
                      </w:txbxContent>
                    </wps:txbx>
                    <wps:bodyPr anchor="t" lIns="0" tIns="0" rIns="0" bIns="0">
                      <a:noAutofit/>
                    </wps:bodyPr>
                  </wps:wsp>
                </a:graphicData>
              </a:graphic>
            </wp:anchor>
          </w:drawing>
        </mc:Choice>
        <mc:Fallback>
          <w:pict>
            <v:rect fillcolor="#FFFFFF" style="position:absolute;rotation:-0;width:1.15pt;height:12.7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widowControl/>
                      <w:rPr>
                        <w:rStyle w:val="PageNumber"/>
                        <w:sz w:val="22"/>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Deal No. EX5442.1.1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1999-06-01T13:46:00Z</dcterms:created>
  <dc:creator>Enron</dc:creator>
  <dc:description/>
  <dc:language>en-CA</dc:language>
  <cp:lastModifiedBy>dneuner</cp:lastModifiedBy>
  <cp:lastPrinted>1999-06-01T11:32:00Z</cp:lastPrinted>
  <dcterms:modified xsi:type="dcterms:W3CDTF">1999-06-01T14:03:00Z</dcterms:modified>
  <cp:revision>6</cp:revision>
  <dc:subject/>
  <dc:title>[ECT LETTERHEAD]</dc:title>
</cp:coreProperties>
</file>