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CESG Annual Retreat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November 14-15, 2001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3"/>
        <w:ind w:hanging="0" w:start="0"/>
        <w:rPr>
          <w:sz w:val="32"/>
          <w:u w:val="none"/>
        </w:rPr>
      </w:pPr>
      <w:r>
        <w:rPr>
          <w:sz w:val="32"/>
          <w:u w:val="none"/>
        </w:rPr>
        <w:t>DRAFT</w:t>
      </w:r>
    </w:p>
    <w:p>
      <w:pPr>
        <w:pStyle w:val="Normal"/>
        <w:rPr>
          <w:sz w:val="32"/>
          <w:u w:val="none"/>
        </w:rPr>
      </w:pPr>
      <w:r>
        <w:rPr>
          <w:sz w:val="32"/>
          <w:u w:val="non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Some Initial Proposed Discussion Topics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>I.</w:t>
        <w:tab/>
        <w:t>California’s Energy Conservation Programs.</w:t>
      </w:r>
    </w:p>
    <w:p>
      <w:pPr>
        <w:pStyle w:val="Normal"/>
        <w:rPr/>
      </w:pPr>
      <w:r>
        <w:rPr/>
        <w:tab/>
        <w:t xml:space="preserve">How effective have the state subsidies been in the overall reduction of peak consumption or was </w:t>
        <w:tab/>
        <w:t xml:space="preserve">the “market” at work? How wrong were the economists in their predictions of changes in energy </w:t>
        <w:tab/>
        <w:t xml:space="preserve">consumption, as blackouts became a real phenomenon and prices increased? What does the </w:t>
        <w:tab/>
        <w:t xml:space="preserve">State have in mind for new or different energy conservation efforts, etc.? What are the “new” </w:t>
        <w:tab/>
        <w:t>long-range energy cost and availability projections?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II.</w:t>
        <w:tab/>
        <w:t xml:space="preserve">Aftermath of the Failure of the Edison MOU in the Second Extraordinary Session and Other </w:t>
        <w:tab/>
        <w:t xml:space="preserve">Legislative Issues in 2001, including the “New” Special Session Called by Governor Gray </w:t>
        <w:tab/>
        <w:t>Davis.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III.</w:t>
        <w:tab/>
        <w:t xml:space="preserve">Financial Status Reports from Pacific Gas &amp; Electric, Southern California Edison and San </w:t>
        <w:tab/>
        <w:t xml:space="preserve">Diego </w:t>
        <w:tab/>
        <w:t>Gas &amp; Electric.</w:t>
      </w:r>
    </w:p>
    <w:p>
      <w:pPr>
        <w:pStyle w:val="Normal"/>
        <w:rPr/>
      </w:pPr>
      <w:r>
        <w:rPr/>
        <w:tab/>
        <w:t xml:space="preserve">Current status of PG&amp;E bankruptcy and reorganization plan. Is bankruptcy turning out to be a </w:t>
        <w:tab/>
        <w:t xml:space="preserve">more reasonable alternative than previously thought or a black hole of uncertainty and higher </w:t>
        <w:tab/>
        <w:t>costs?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IV.</w:t>
        <w:tab/>
        <w:t>Status of California Department of Water Resources Long Term Contracts with Generators.</w:t>
      </w:r>
    </w:p>
    <w:p>
      <w:pPr>
        <w:pStyle w:val="Normal"/>
        <w:rPr/>
      </w:pPr>
      <w:r>
        <w:rPr/>
        <w:tab/>
        <w:t xml:space="preserve">Will all of the power plants behind these contracts be constructed? Are the contracts overpriced or  </w:t>
        <w:tab/>
        <w:t xml:space="preserve">good market hedges, if viewed over the long term? What impact will the contracts have on the </w:t>
        <w:tab/>
        <w:t>overall rate discussions at the CPUC, the IOU’s long-term financial position, etc.?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V.</w:t>
        <w:tab/>
        <w:t xml:space="preserve">Natural Gas Market Development. California has proceeded over the last several years from </w:t>
        <w:tab/>
        <w:t xml:space="preserve">a nuclear/hydro/QF price based generation cost base to one dominated by natural gas costs – </w:t>
        <w:tab/>
        <w:t>what’s ahead for gas?</w:t>
      </w:r>
    </w:p>
    <w:p>
      <w:pPr>
        <w:pStyle w:val="Normal"/>
        <w:ind w:start="720" w:end="0"/>
        <w:rPr/>
      </w:pPr>
      <w:r>
        <w:rPr/>
        <w:t>Proposals for new or enhanced interstate and intrastate pipelines, LNG development, storage facilities as well as future price outlooks, etc.</w:t>
      </w:r>
    </w:p>
    <w:p>
      <w:pPr>
        <w:pStyle w:val="Heading1"/>
        <w:ind w:hanging="0" w:start="0"/>
        <w:rPr/>
      </w:pPr>
      <w:r>
        <w:rPr/>
        <w:t>VI.</w:t>
        <w:tab/>
        <w:t xml:space="preserve">The Current Structure of the California Energy Market or What Should the Future </w:t>
        <w:tab/>
        <w:t>Direction Be?</w:t>
      </w:r>
    </w:p>
    <w:p>
      <w:pPr>
        <w:pStyle w:val="Normal"/>
        <w:ind w:start="720" w:end="0"/>
        <w:rPr/>
      </w:pPr>
      <w:r>
        <w:rPr/>
        <w:t xml:space="preserve">Evolving roles for the State of California, investor owned utilities, electric service providers, renewable/green energy generators and marketers, municipal utilities, private generators, etc.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VII.</w:t>
        <w:tab/>
        <w:t xml:space="preserve">The Current Organization of Energy in California Relative to the Federal Government, </w:t>
        <w:tab/>
        <w:t>Regional Transmission Organizations (RTO’s), etc.</w:t>
      </w:r>
    </w:p>
    <w:p>
      <w:pPr>
        <w:pStyle w:val="Normal"/>
        <w:rPr/>
      </w:pPr>
      <w:r>
        <w:rPr/>
        <w:tab/>
        <w:t xml:space="preserve">Have we simply added more cost and complexity as we have tried to solve energy problems or is </w:t>
        <w:tab/>
        <w:t xml:space="preserve">there some method to California’s future direction with legitimate roles for the California Public </w:t>
        <w:tab/>
        <w:t xml:space="preserve">Utilities Commission, California Energy Commission, California Independent System </w:t>
        <w:tab/>
        <w:t xml:space="preserve">Operator, Electricity Oversight Board, California Department of Water Resources and the </w:t>
        <w:tab/>
        <w:t xml:space="preserve">California Power and Consumer Financing Authority. How do all of these agencies relate to </w:t>
        <w:tab/>
        <w:t>whatever the FERC and Congress may decide as their proposed or an RTO structure?</w:t>
        <w:tab/>
      </w:r>
    </w:p>
    <w:p>
      <w:pPr>
        <w:pStyle w:val="Normal"/>
        <w:rPr>
          <w:rFonts w:ascii="Tahoma" w:hAnsi="Tahoma" w:cs="Tahoma"/>
          <w:sz w:val="28"/>
        </w:rPr>
      </w:pPr>
      <w:r>
        <w:rPr>
          <w:rFonts w:cs="Tahoma" w:ascii="Tahoma" w:hAnsi="Tahoma"/>
          <w:sz w:val="28"/>
        </w:rPr>
      </w:r>
    </w:p>
    <w:p>
      <w:pPr>
        <w:pStyle w:val="Normal"/>
        <w:rPr>
          <w:rFonts w:ascii="Tahoma" w:hAnsi="Tahoma" w:cs="Tahoma"/>
          <w:sz w:val="28"/>
        </w:rPr>
      </w:pPr>
      <w:r>
        <w:rPr>
          <w:rFonts w:cs="Tahoma" w:ascii="Tahoma" w:hAnsi="Tahoma"/>
          <w:sz w:val="28"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288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vantGard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52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</w:rPr>
    </w:r>
  </w:p>
  <w:p>
    <w:pPr>
      <w:pStyle w:val="Header"/>
      <w:rPr>
        <w:b/>
        <w:sz w:val="40"/>
      </w:rPr>
    </w:pPr>
    <w:r>
      <w:rPr>
        <w:b/>
        <w:sz w:val="4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pacing w:val="20"/>
        <w:sz w:val="48"/>
      </w:rPr>
    </w:pPr>
    <w:r>
      <w:rPr>
        <w:b/>
        <w:spacing w:val="20"/>
        <w:sz w:val="48"/>
      </w:rPr>
      <w:t>California Energy Solutions Group</w:t>
    </w:r>
  </w:p>
  <w:p>
    <w:pPr>
      <w:pStyle w:val="Header"/>
      <w:jc w:val="center"/>
      <w:rPr>
        <w:rFonts w:ascii="AvantGarde" w:hAnsi="AvantGarde" w:cs="AvantGarde"/>
        <w:sz w:val="32"/>
      </w:rPr>
    </w:pPr>
    <w:r>
      <w:rPr>
        <w:rFonts w:cs="AvantGarde" w:ascii="AvantGarde" w:hAnsi="AvantGarde"/>
        <w:sz w:val="32"/>
      </w:rPr>
      <w:t>980 Ninth Street, Suite 1560</w:t>
    </w:r>
  </w:p>
  <w:p>
    <w:pPr>
      <w:pStyle w:val="Header"/>
      <w:jc w:val="center"/>
      <w:rPr>
        <w:rFonts w:ascii="AvantGarde" w:hAnsi="AvantGarde" w:cs="AvantGarde"/>
        <w:sz w:val="32"/>
      </w:rPr>
    </w:pPr>
    <w:r>
      <w:rPr>
        <w:rFonts w:cs="AvantGarde" w:ascii="AvantGarde" w:hAnsi="AvantGarde"/>
        <w:sz w:val="32"/>
      </w:rPr>
      <w:t>Sacramento, CA 95814</w:t>
    </w:r>
  </w:p>
  <w:p>
    <w:pPr>
      <w:pStyle w:val="Header"/>
      <w:jc w:val="center"/>
      <w:rPr/>
    </w:pPr>
    <w:r>
      <w:rPr>
        <w:rFonts w:cs="AvantGarde" w:ascii="AvantGarde" w:hAnsi="AvantGarde"/>
        <w:sz w:val="32"/>
      </w:rPr>
      <w:t xml:space="preserve">(916) 446-5508    </w:t>
    </w:r>
    <w:r>
      <w:rPr>
        <w:rFonts w:eastAsia="Wingdings" w:cs="Wingdings" w:ascii="Wingdings" w:hAnsi="Wingdings"/>
        <w:sz w:val="32"/>
      </w:rPr>
      <w:sym w:font="Wingdings" w:char="f076"/>
    </w:r>
    <w:r>
      <w:rPr>
        <w:rFonts w:cs="AvantGarde" w:ascii="AvantGarde" w:hAnsi="AvantGarde"/>
        <w:sz w:val="32"/>
      </w:rPr>
      <w:t xml:space="preserve">     (916) 446-1499</w:t>
    </w:r>
  </w:p>
  <w:p>
    <w:pPr>
      <w:pStyle w:val="Header"/>
      <w:jc w:val="center"/>
      <w:rPr>
        <w:rFonts w:ascii="Arial" w:hAnsi="Arial" w:cs="Arial"/>
        <w:sz w:val="28"/>
      </w:rPr>
    </w:pPr>
    <w:r>
      <w:rPr>
        <w:rFonts w:cs="Arial" w:ascii="Arial" w:hAnsi="Arial"/>
        <w:sz w:val="28"/>
      </w:rPr>
      <w:t>djsmith@smithandkempton.com</w:t>
    </w:r>
  </w:p>
  <w:p>
    <w:pPr>
      <w:pStyle w:val="Header"/>
      <w:jc w:val="center"/>
      <w:rPr>
        <w:rFonts w:ascii="Arial" w:hAnsi="Arial" w:cs="Arial"/>
        <w:sz w:val="32"/>
        <w:lang w:val="en-CA" w:eastAsia="en-CA"/>
      </w:rPr>
    </w:pPr>
    <w:r>
      <w:rPr>
        <w:rFonts w:cs="Arial" w:ascii="Arial" w:hAnsi="Arial"/>
        <w:sz w:val="32"/>
        <w:lang w:val="en-CA" w:eastAsia="en-CA"/>
      </w:rPr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1057275</wp:posOffset>
              </wp:positionH>
              <wp:positionV relativeFrom="paragraph">
                <wp:posOffset>147320</wp:posOffset>
              </wp:positionV>
              <wp:extent cx="5067300" cy="0"/>
              <wp:effectExtent l="0" t="28575" r="0" b="28575"/>
              <wp:wrapTopAndBottom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736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3.25pt,11.6pt" to="482.2pt,11.6pt" stroked="t" o:allowincell="f" style="position:absolute">
              <v:stroke color="black" weight="57240" joinstyle="miter" endcap="flat"/>
              <v:fill o:detectmouseclick="t" on="false"/>
              <w10:wrap type="topAndBottom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Arial" w:hAnsi="Arial" w:cs="Arial"/>
      <w:b/>
      <w:i w:val="false"/>
      <w:sz w:val="24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2001-10-01T17:20:00Z</dcterms:created>
  <dc:creator>D.J. Smith</dc:creator>
  <dc:description/>
  <dc:language>en-CA</dc:language>
  <cp:lastModifiedBy>D.J. Smith</cp:lastModifiedBy>
  <cp:lastPrinted>2001-10-01T12:53:00Z</cp:lastPrinted>
  <dcterms:modified xsi:type="dcterms:W3CDTF">2001-10-02T13:51:00Z</dcterms:modified>
  <cp:revision>5</cp:revision>
  <dc:subject/>
  <dc:title>CESG Annual Retreat</dc:title>
</cp:coreProperties>
</file>