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NJD Draft 2</w:t>
      </w:r>
    </w:p>
    <w:p>
      <w:pPr>
        <w:pStyle w:val="Normal"/>
        <w:jc w:val="center"/>
        <w:rPr>
          <w:b/>
          <w:bCs/>
        </w:rPr>
      </w:pPr>
      <w:r>
        <w:rPr>
          <w:b/>
          <w:bCs/>
        </w:rPr>
      </w:r>
    </w:p>
    <w:p>
      <w:pPr>
        <w:pStyle w:val="Normal"/>
        <w:jc w:val="center"/>
        <w:rPr/>
      </w:pPr>
      <w:r>
        <w:rPr>
          <w:b/>
          <w:bCs/>
        </w:rPr>
        <w:t>DEAL</w:t>
      </w:r>
      <w:r>
        <w:rPr>
          <w:b/>
          <w:bCs/>
          <w:sz w:val="28"/>
        </w:rPr>
        <w:t>B</w:t>
      </w:r>
      <w:r>
        <w:rPr>
          <w:b/>
          <w:bCs/>
        </w:rPr>
        <w:t>ENCH, LLC</w:t>
      </w:r>
    </w:p>
    <w:p>
      <w:pPr>
        <w:pStyle w:val="Normal"/>
        <w:jc w:val="center"/>
        <w:rPr/>
      </w:pPr>
      <w:r>
        <w:rPr/>
        <w:t>November 1, 2000</w:t>
      </w:r>
    </w:p>
    <w:p>
      <w:pPr>
        <w:pStyle w:val="Normal"/>
        <w:jc w:val="center"/>
        <w:rPr/>
      </w:pPr>
      <w:r>
        <w:rPr/>
        <w:t>Discussion Items</w:t>
      </w:r>
    </w:p>
    <w:p>
      <w:pPr>
        <w:pStyle w:val="Normal"/>
        <w:rPr/>
      </w:pPr>
      <w:r>
        <w:rPr/>
      </w:r>
    </w:p>
    <w:p>
      <w:pPr>
        <w:pStyle w:val="Normal"/>
        <w:numPr>
          <w:ilvl w:val="0"/>
          <w:numId w:val="2"/>
        </w:numPr>
        <w:tabs>
          <w:tab w:val="clear" w:pos="720"/>
        </w:tabs>
        <w:ind w:hanging="0" w:start="0" w:end="0"/>
        <w:jc w:val="both"/>
        <w:rPr>
          <w:b/>
          <w:bCs/>
        </w:rPr>
      </w:pPr>
      <w:r>
        <w:rPr>
          <w:b/>
          <w:bCs/>
        </w:rPr>
        <w:t>DealBench Role(s) -- Intended versus Legal Construction</w:t>
      </w:r>
    </w:p>
    <w:p>
      <w:pPr>
        <w:pStyle w:val="Normal"/>
        <w:jc w:val="both"/>
        <w:rPr>
          <w:b/>
          <w:bCs/>
        </w:rPr>
      </w:pPr>
      <w:r>
        <w:rPr>
          <w:b/>
          <w:bCs/>
        </w:rPr>
      </w:r>
    </w:p>
    <w:p>
      <w:pPr>
        <w:pStyle w:val="Normal"/>
        <w:numPr>
          <w:ilvl w:val="0"/>
          <w:numId w:val="2"/>
        </w:numPr>
        <w:tabs>
          <w:tab w:val="clear" w:pos="720"/>
        </w:tabs>
        <w:ind w:hanging="720" w:start="1440" w:end="0"/>
        <w:jc w:val="both"/>
        <w:rPr/>
      </w:pPr>
      <w:r>
        <w:rPr>
          <w:b/>
          <w:bCs/>
        </w:rPr>
        <w:t>Technology Provider</w:t>
      </w:r>
      <w:r>
        <w:rPr/>
        <w:t xml:space="preserve"> – DealBench provides web-based electronic platform to third parties as Deal Managers to facilitate their transactions.</w:t>
      </w:r>
    </w:p>
    <w:p>
      <w:pPr>
        <w:pStyle w:val="Normal"/>
        <w:jc w:val="both"/>
        <w:rPr/>
      </w:pPr>
      <w:r>
        <w:rPr/>
      </w:r>
    </w:p>
    <w:p>
      <w:pPr>
        <w:pStyle w:val="Normal"/>
        <w:numPr>
          <w:ilvl w:val="0"/>
          <w:numId w:val="2"/>
        </w:numPr>
        <w:tabs>
          <w:tab w:val="clear" w:pos="720"/>
        </w:tabs>
        <w:ind w:hanging="720" w:start="2160" w:end="0"/>
        <w:jc w:val="both"/>
        <w:rPr/>
      </w:pPr>
      <w:r>
        <w:rPr/>
        <w:t>Depending upon nature of transaction or subject thereof, if another Enron entity is “third-party”, is DealBench’s status as pure technology provider effected?</w:t>
      </w:r>
    </w:p>
    <w:p>
      <w:pPr>
        <w:pStyle w:val="Normal"/>
        <w:jc w:val="both"/>
        <w:rPr/>
      </w:pPr>
      <w:r>
        <w:rPr/>
      </w:r>
    </w:p>
    <w:p>
      <w:pPr>
        <w:pStyle w:val="Normal"/>
        <w:numPr>
          <w:ilvl w:val="0"/>
          <w:numId w:val="2"/>
        </w:numPr>
        <w:tabs>
          <w:tab w:val="clear" w:pos="720"/>
        </w:tabs>
        <w:ind w:hanging="720" w:start="2160" w:end="0"/>
        <w:jc w:val="both"/>
        <w:rPr/>
      </w:pPr>
      <w:r>
        <w:rPr/>
        <w:t>Does DealBench have any duty or regulatory/compliance obligations with respect to various types of transactions Deal Managers put on the site?  For example, if site used by a Deal Manager to sell oil and gas interests (which might legally be real estate and/or securities), is DealBench subject to any licensing, registration or other regulatory requirements?</w:t>
      </w:r>
    </w:p>
    <w:p>
      <w:pPr>
        <w:pStyle w:val="Normal"/>
        <w:jc w:val="both"/>
        <w:rPr/>
      </w:pPr>
      <w:r>
        <w:rPr/>
      </w:r>
    </w:p>
    <w:p>
      <w:pPr>
        <w:pStyle w:val="Normal"/>
        <w:numPr>
          <w:ilvl w:val="0"/>
          <w:numId w:val="2"/>
        </w:numPr>
        <w:tabs>
          <w:tab w:val="clear" w:pos="720"/>
        </w:tabs>
        <w:ind w:hanging="720" w:start="2160" w:end="0"/>
        <w:jc w:val="both"/>
        <w:rPr/>
      </w:pPr>
      <w:r>
        <w:rPr/>
        <w:t>Further to preceding bullet point, although DealBench is not a Deal Manager, does the nature of a particular transaction or subject thereof affect legal status of DealBench’s role?</w:t>
      </w:r>
    </w:p>
    <w:p>
      <w:pPr>
        <w:pStyle w:val="Normal"/>
        <w:jc w:val="both"/>
        <w:rPr/>
      </w:pPr>
      <w:r>
        <w:rPr/>
      </w:r>
    </w:p>
    <w:p>
      <w:pPr>
        <w:pStyle w:val="Normal"/>
        <w:numPr>
          <w:ilvl w:val="0"/>
          <w:numId w:val="2"/>
        </w:numPr>
        <w:tabs>
          <w:tab w:val="clear" w:pos="720"/>
        </w:tabs>
        <w:ind w:hanging="720" w:start="1440" w:end="0"/>
        <w:jc w:val="both"/>
        <w:rPr/>
      </w:pPr>
      <w:r>
        <w:rPr>
          <w:b/>
          <w:bCs/>
        </w:rPr>
        <w:t>Broker</w:t>
      </w:r>
      <w:r>
        <w:rPr/>
        <w:t xml:space="preserve"> – For example, securities, real estate (</w:t>
      </w:r>
      <w:r>
        <w:rPr>
          <w:i/>
          <w:iCs/>
        </w:rPr>
        <w:t>e.g</w:t>
      </w:r>
      <w:r>
        <w:rPr/>
        <w:t>., where oil and gas interests involved).  What affect of following:</w:t>
      </w:r>
    </w:p>
    <w:p>
      <w:pPr>
        <w:pStyle w:val="Normal"/>
        <w:jc w:val="both"/>
        <w:rPr/>
      </w:pPr>
      <w:r>
        <w:rPr/>
      </w:r>
    </w:p>
    <w:p>
      <w:pPr>
        <w:pStyle w:val="Normal"/>
        <w:numPr>
          <w:ilvl w:val="2"/>
          <w:numId w:val="2"/>
        </w:numPr>
        <w:tabs>
          <w:tab w:val="clear" w:pos="720"/>
        </w:tabs>
        <w:ind w:hanging="720" w:start="2160" w:end="0"/>
        <w:jc w:val="both"/>
        <w:rPr/>
      </w:pPr>
      <w:r>
        <w:rPr/>
        <w:t>DealBench facilitates a transaction (such as an auction) for a Deal Manager who desires to remain anonymous</w:t>
      </w:r>
    </w:p>
    <w:p>
      <w:pPr>
        <w:pStyle w:val="Normal"/>
        <w:ind w:start="1440" w:end="0"/>
        <w:jc w:val="both"/>
        <w:rPr/>
      </w:pPr>
      <w:r>
        <w:rPr/>
      </w:r>
    </w:p>
    <w:p>
      <w:pPr>
        <w:pStyle w:val="Normal"/>
        <w:numPr>
          <w:ilvl w:val="2"/>
          <w:numId w:val="2"/>
        </w:numPr>
        <w:tabs>
          <w:tab w:val="clear" w:pos="720"/>
        </w:tabs>
        <w:ind w:hanging="720" w:start="2160" w:end="0"/>
        <w:jc w:val="both"/>
        <w:rPr/>
      </w:pPr>
      <w:r>
        <w:rPr/>
        <w:t xml:space="preserve">DealBench (1) identifies (i) a transaction type, </w:t>
      </w:r>
      <w:r>
        <w:rPr>
          <w:i/>
          <w:iCs/>
        </w:rPr>
        <w:t>e.g</w:t>
      </w:r>
      <w:r>
        <w:rPr/>
        <w:t xml:space="preserve">., secondary sales of debt participations, and (ii) institutions who generally are interested in participating in such transactions, and (2) contacts those institutions for prior general written consent to be invited by Deal Managers from time to time to participate in those transactions  </w:t>
      </w:r>
    </w:p>
    <w:p>
      <w:pPr>
        <w:pStyle w:val="Normal"/>
        <w:jc w:val="both"/>
        <w:rPr/>
      </w:pPr>
      <w:r>
        <w:rPr/>
      </w:r>
    </w:p>
    <w:p>
      <w:pPr>
        <w:pStyle w:val="Normal"/>
        <w:numPr>
          <w:ilvl w:val="0"/>
          <w:numId w:val="2"/>
        </w:numPr>
        <w:tabs>
          <w:tab w:val="clear" w:pos="720"/>
        </w:tabs>
        <w:ind w:hanging="720" w:start="1440" w:end="0"/>
        <w:jc w:val="both"/>
        <w:rPr/>
      </w:pPr>
      <w:r>
        <w:rPr>
          <w:b/>
          <w:bCs/>
        </w:rPr>
        <w:t>Dealer</w:t>
      </w:r>
      <w:r>
        <w:rPr/>
        <w:t xml:space="preserve"> – DealBench holds a position.</w:t>
      </w:r>
    </w:p>
    <w:p>
      <w:pPr>
        <w:pStyle w:val="Normal"/>
        <w:ind w:start="720" w:end="0"/>
        <w:jc w:val="both"/>
        <w:rPr/>
      </w:pPr>
      <w:r>
        <w:rPr/>
      </w:r>
    </w:p>
    <w:p>
      <w:pPr>
        <w:pStyle w:val="Normal"/>
        <w:numPr>
          <w:ilvl w:val="0"/>
          <w:numId w:val="2"/>
        </w:numPr>
        <w:tabs>
          <w:tab w:val="clear" w:pos="720"/>
        </w:tabs>
        <w:ind w:hanging="720" w:start="1440" w:end="0"/>
        <w:jc w:val="both"/>
        <w:rPr/>
      </w:pPr>
      <w:r>
        <w:rPr>
          <w:b/>
          <w:bCs/>
        </w:rPr>
        <w:t xml:space="preserve">Exchange – </w:t>
      </w:r>
      <w:r>
        <w:rPr/>
        <w:t>For example, what affect if (1) user of DealBench can run multiple windows—</w:t>
      </w:r>
      <w:r>
        <w:rPr>
          <w:i/>
          <w:iCs/>
        </w:rPr>
        <w:t>i.e.</w:t>
      </w:r>
      <w:r>
        <w:rPr/>
        <w:t>, user has simultaneous access to multiple transactions of similar type or involving same asset (but different sellers/Deal Managers), or (2) DealBench facilitates auctions for EnronOnline with EOL as Deal Manager</w:t>
      </w:r>
    </w:p>
    <w:p>
      <w:pPr>
        <w:pStyle w:val="Normal"/>
        <w:jc w:val="both"/>
        <w:rPr/>
      </w:pPr>
      <w:r>
        <w:rPr/>
      </w:r>
    </w:p>
    <w:p>
      <w:pPr>
        <w:pStyle w:val="Normal"/>
        <w:numPr>
          <w:ilvl w:val="0"/>
          <w:numId w:val="2"/>
        </w:numPr>
        <w:tabs>
          <w:tab w:val="clear" w:pos="720"/>
        </w:tabs>
        <w:ind w:hanging="0" w:start="0" w:end="0"/>
        <w:jc w:val="both"/>
        <w:rPr/>
      </w:pPr>
      <w:r>
        <w:rPr>
          <w:b/>
          <w:bCs/>
        </w:rPr>
        <w:t>Certain Possible Transactions conducted on DealBench by Deal Managers</w:t>
      </w:r>
    </w:p>
    <w:p>
      <w:pPr>
        <w:pStyle w:val="Normal"/>
        <w:jc w:val="both"/>
        <w:rPr/>
      </w:pPr>
      <w:r>
        <w:rPr/>
      </w:r>
    </w:p>
    <w:p>
      <w:pPr>
        <w:pStyle w:val="Normal"/>
        <w:numPr>
          <w:ilvl w:val="0"/>
          <w:numId w:val="2"/>
        </w:numPr>
        <w:tabs>
          <w:tab w:val="clear" w:pos="720"/>
        </w:tabs>
        <w:ind w:hanging="0" w:start="720" w:end="0"/>
        <w:jc w:val="both"/>
        <w:rPr/>
      </w:pPr>
      <w:r>
        <w:rPr/>
        <w:t>Mergers and Acquisitions</w:t>
      </w:r>
    </w:p>
    <w:p>
      <w:pPr>
        <w:pStyle w:val="Normal"/>
        <w:jc w:val="both"/>
        <w:rPr/>
      </w:pPr>
      <w:r>
        <w:rPr/>
      </w:r>
    </w:p>
    <w:p>
      <w:pPr>
        <w:pStyle w:val="Normal"/>
        <w:numPr>
          <w:ilvl w:val="0"/>
          <w:numId w:val="2"/>
        </w:numPr>
        <w:tabs>
          <w:tab w:val="clear" w:pos="720"/>
        </w:tabs>
        <w:ind w:hanging="720" w:start="1440" w:end="0"/>
        <w:jc w:val="both"/>
        <w:rPr/>
      </w:pPr>
      <w:r>
        <w:rPr/>
        <w:t>Sales of Goods, Services and Financial Products (negotiated, auctions (forward and reverse)), including present sales, forward contracts (sale of cash commodity for deferred delivery), future contracts (contract of sale of commodity for future delivery)</w:t>
      </w:r>
    </w:p>
    <w:p>
      <w:pPr>
        <w:sectPr>
          <w:type w:val="nextPage"/>
          <w:pgSz w:w="12240" w:h="15840"/>
          <w:pgMar w:left="1080" w:right="1080" w:gutter="0" w:header="0" w:top="720" w:footer="0" w:bottom="720"/>
          <w:pgNumType w:fmt="decimal"/>
          <w:formProt w:val="false"/>
          <w:textDirection w:val="lrTb"/>
          <w:docGrid w:type="default" w:linePitch="360" w:charSpace="0"/>
        </w:sectPr>
        <w:pStyle w:val="Normal"/>
        <w:jc w:val="both"/>
        <w:rPr/>
      </w:pPr>
      <w:r>
        <w:rPr/>
      </w:r>
    </w:p>
    <w:p>
      <w:pPr>
        <w:pStyle w:val="Normal"/>
        <w:numPr>
          <w:ilvl w:val="0"/>
          <w:numId w:val="2"/>
        </w:numPr>
        <w:tabs>
          <w:tab w:val="clear" w:pos="720"/>
        </w:tabs>
        <w:ind w:hanging="720" w:start="2160" w:end="0"/>
        <w:jc w:val="both"/>
        <w:rPr/>
      </w:pPr>
      <w:r>
        <w:rPr/>
        <w:t>Goods – Is a security, real property or other regulated asset/transaction involved?</w:t>
      </w:r>
    </w:p>
    <w:p>
      <w:pPr>
        <w:pStyle w:val="Normal"/>
        <w:jc w:val="both"/>
        <w:rPr/>
      </w:pPr>
      <w:r>
        <w:rPr/>
      </w:r>
    </w:p>
    <w:p>
      <w:pPr>
        <w:pStyle w:val="Normal"/>
        <w:numPr>
          <w:ilvl w:val="3"/>
          <w:numId w:val="2"/>
        </w:numPr>
        <w:tabs>
          <w:tab w:val="clear" w:pos="720"/>
        </w:tabs>
        <w:ind w:hanging="0" w:start="2160" w:end="0"/>
        <w:jc w:val="both"/>
        <w:rPr/>
      </w:pPr>
      <w:r>
        <w:rPr/>
        <w:t>Hard goods, such as carpets, fixtures, computers</w:t>
      </w:r>
    </w:p>
    <w:p>
      <w:pPr>
        <w:pStyle w:val="Normal"/>
        <w:numPr>
          <w:ilvl w:val="3"/>
          <w:numId w:val="2"/>
        </w:numPr>
        <w:tabs>
          <w:tab w:val="clear" w:pos="720"/>
        </w:tabs>
        <w:ind w:hanging="720" w:start="2880" w:end="0"/>
        <w:jc w:val="both"/>
        <w:rPr/>
      </w:pPr>
      <w:r>
        <w:rPr/>
        <w:t>Resources (such as crude oil and natural gas, or interests therein)</w:t>
      </w:r>
    </w:p>
    <w:p>
      <w:pPr>
        <w:pStyle w:val="Normal"/>
        <w:jc w:val="both"/>
        <w:rPr/>
      </w:pPr>
      <w:r>
        <w:rPr/>
      </w:r>
    </w:p>
    <w:p>
      <w:pPr>
        <w:pStyle w:val="Normal"/>
        <w:numPr>
          <w:ilvl w:val="0"/>
          <w:numId w:val="2"/>
        </w:numPr>
        <w:tabs>
          <w:tab w:val="clear" w:pos="720"/>
        </w:tabs>
        <w:ind w:hanging="720" w:start="2160" w:end="0"/>
        <w:jc w:val="both"/>
        <w:rPr/>
      </w:pPr>
      <w:r>
        <w:rPr/>
        <w:t>Financial Products (primary and secondary transactions, private placements, public offerings) – Is a security involved?</w:t>
      </w:r>
    </w:p>
    <w:p>
      <w:pPr>
        <w:pStyle w:val="Normal"/>
        <w:ind w:start="1440" w:end="0"/>
        <w:jc w:val="both"/>
        <w:rPr/>
      </w:pPr>
      <w:r>
        <w:rPr/>
      </w:r>
    </w:p>
    <w:p>
      <w:pPr>
        <w:pStyle w:val="Normal"/>
        <w:numPr>
          <w:ilvl w:val="3"/>
          <w:numId w:val="2"/>
        </w:numPr>
        <w:tabs>
          <w:tab w:val="clear" w:pos="720"/>
        </w:tabs>
        <w:ind w:hanging="720" w:start="2880" w:end="0"/>
        <w:jc w:val="both"/>
        <w:rPr/>
      </w:pPr>
      <w:r>
        <w:rPr/>
        <w:t>Debt (</w:t>
      </w:r>
      <w:r>
        <w:rPr>
          <w:i/>
          <w:iCs/>
        </w:rPr>
        <w:t xml:space="preserve">e.g., </w:t>
      </w:r>
      <w:r>
        <w:rPr/>
        <w:t>loans, loan syndications, bonds, commercial paper)</w:t>
      </w:r>
    </w:p>
    <w:p>
      <w:pPr>
        <w:pStyle w:val="Normal"/>
        <w:numPr>
          <w:ilvl w:val="3"/>
          <w:numId w:val="2"/>
        </w:numPr>
        <w:tabs>
          <w:tab w:val="clear" w:pos="720"/>
        </w:tabs>
        <w:ind w:hanging="720" w:start="2880" w:end="0"/>
        <w:jc w:val="both"/>
        <w:rPr/>
      </w:pPr>
      <w:r>
        <w:rPr/>
        <w:t>Equity (</w:t>
      </w:r>
      <w:r>
        <w:rPr>
          <w:i/>
          <w:iCs/>
        </w:rPr>
        <w:t xml:space="preserve">e.g., </w:t>
      </w:r>
      <w:r>
        <w:rPr/>
        <w:t>stock, partnership or limited liability company interests)</w:t>
      </w:r>
    </w:p>
    <w:p>
      <w:pPr>
        <w:pStyle w:val="Normal"/>
        <w:numPr>
          <w:ilvl w:val="3"/>
          <w:numId w:val="2"/>
        </w:numPr>
        <w:tabs>
          <w:tab w:val="clear" w:pos="720"/>
        </w:tabs>
        <w:ind w:hanging="0" w:start="2160" w:end="0"/>
        <w:jc w:val="both"/>
        <w:rPr/>
      </w:pPr>
      <w:r>
        <w:rPr/>
        <w:t>Lease Syndications</w:t>
      </w:r>
    </w:p>
    <w:p>
      <w:pPr>
        <w:pStyle w:val="Normal"/>
        <w:numPr>
          <w:ilvl w:val="3"/>
          <w:numId w:val="2"/>
        </w:numPr>
        <w:tabs>
          <w:tab w:val="clear" w:pos="720"/>
        </w:tabs>
        <w:ind w:hanging="0" w:start="2160" w:end="0"/>
        <w:jc w:val="both"/>
        <w:rPr/>
      </w:pPr>
      <w:r>
        <w:rPr/>
        <w:t>Swaps</w:t>
      </w:r>
    </w:p>
    <w:p>
      <w:pPr>
        <w:pStyle w:val="Normal"/>
        <w:numPr>
          <w:ilvl w:val="3"/>
          <w:numId w:val="2"/>
        </w:numPr>
        <w:tabs>
          <w:tab w:val="clear" w:pos="720"/>
        </w:tabs>
        <w:ind w:hanging="0" w:start="2160" w:end="0"/>
        <w:jc w:val="both"/>
        <w:rPr/>
      </w:pPr>
      <w:r>
        <w:rPr/>
        <w:t>Derivatives</w:t>
      </w:r>
    </w:p>
    <w:p>
      <w:pPr>
        <w:pStyle w:val="Normal"/>
        <w:numPr>
          <w:ilvl w:val="3"/>
          <w:numId w:val="2"/>
        </w:numPr>
        <w:tabs>
          <w:tab w:val="clear" w:pos="720"/>
        </w:tabs>
        <w:ind w:hanging="0" w:start="2160" w:end="0"/>
        <w:jc w:val="both"/>
        <w:rPr/>
      </w:pPr>
      <w:r>
        <w:rPr/>
        <w:t>Insurance</w:t>
      </w:r>
    </w:p>
    <w:p>
      <w:pPr>
        <w:pStyle w:val="Normal"/>
        <w:jc w:val="both"/>
        <w:rPr/>
      </w:pPr>
      <w:r>
        <w:rPr/>
      </w:r>
    </w:p>
    <w:p>
      <w:pPr>
        <w:pStyle w:val="Normal"/>
        <w:numPr>
          <w:ilvl w:val="0"/>
          <w:numId w:val="2"/>
        </w:numPr>
        <w:tabs>
          <w:tab w:val="clear" w:pos="720"/>
        </w:tabs>
        <w:ind w:hanging="0" w:start="0" w:end="0"/>
        <w:jc w:val="both"/>
        <w:rPr/>
      </w:pPr>
      <w:r>
        <w:rPr>
          <w:b/>
          <w:bCs/>
        </w:rPr>
        <w:t>Nature of Participants</w:t>
      </w:r>
    </w:p>
    <w:p>
      <w:pPr>
        <w:pStyle w:val="Normal"/>
        <w:jc w:val="both"/>
        <w:rPr/>
      </w:pPr>
      <w:r>
        <w:rPr/>
      </w:r>
    </w:p>
    <w:p>
      <w:pPr>
        <w:pStyle w:val="Normal"/>
        <w:numPr>
          <w:ilvl w:val="0"/>
          <w:numId w:val="2"/>
        </w:numPr>
        <w:tabs>
          <w:tab w:val="clear" w:pos="720"/>
        </w:tabs>
        <w:ind w:hanging="0" w:start="720" w:end="0"/>
        <w:jc w:val="both"/>
        <w:rPr/>
      </w:pPr>
      <w:r>
        <w:rPr/>
        <w:t>Institutional investors</w:t>
      </w:r>
    </w:p>
    <w:p>
      <w:pPr>
        <w:pStyle w:val="Normal"/>
        <w:numPr>
          <w:ilvl w:val="0"/>
          <w:numId w:val="2"/>
        </w:numPr>
        <w:ind w:hanging="0" w:start="720" w:end="0"/>
        <w:jc w:val="both"/>
        <w:rPr/>
      </w:pPr>
      <w:r>
        <w:rPr/>
        <w:t>Accredited investors</w:t>
      </w:r>
    </w:p>
    <w:p>
      <w:pPr>
        <w:pStyle w:val="Normal"/>
        <w:numPr>
          <w:ilvl w:val="0"/>
          <w:numId w:val="2"/>
        </w:numPr>
        <w:ind w:hanging="0" w:start="720" w:end="0"/>
        <w:jc w:val="both"/>
        <w:rPr/>
      </w:pPr>
      <w:r>
        <w:rPr/>
        <w:t>Business buyers of goods or services other than financial goods or services</w:t>
      </w:r>
    </w:p>
    <w:p>
      <w:pPr>
        <w:pStyle w:val="Normal"/>
        <w:numPr>
          <w:ilvl w:val="0"/>
          <w:numId w:val="2"/>
        </w:numPr>
        <w:ind w:hanging="0" w:start="720" w:end="0"/>
        <w:jc w:val="both"/>
        <w:rPr/>
      </w:pPr>
      <w:r>
        <w:rPr/>
        <w:t>None of above</w:t>
      </w:r>
    </w:p>
    <w:p>
      <w:pPr>
        <w:pStyle w:val="Normal"/>
        <w:jc w:val="both"/>
        <w:rPr/>
      </w:pPr>
      <w:r>
        <w:rPr/>
      </w:r>
    </w:p>
    <w:p>
      <w:pPr>
        <w:pStyle w:val="Normal"/>
        <w:numPr>
          <w:ilvl w:val="0"/>
          <w:numId w:val="2"/>
        </w:numPr>
        <w:tabs>
          <w:tab w:val="clear" w:pos="720"/>
        </w:tabs>
        <w:ind w:hanging="0" w:start="0" w:end="0"/>
        <w:jc w:val="both"/>
        <w:rPr/>
      </w:pPr>
      <w:r>
        <w:rPr>
          <w:b/>
          <w:bCs/>
        </w:rPr>
        <w:t>Manner of Transaction</w:t>
      </w:r>
    </w:p>
    <w:p>
      <w:pPr>
        <w:pStyle w:val="Normal"/>
        <w:jc w:val="both"/>
        <w:rPr/>
      </w:pPr>
      <w:r>
        <w:rPr/>
      </w:r>
    </w:p>
    <w:p>
      <w:pPr>
        <w:pStyle w:val="Normal"/>
        <w:numPr>
          <w:ilvl w:val="0"/>
          <w:numId w:val="2"/>
        </w:numPr>
        <w:tabs>
          <w:tab w:val="clear" w:pos="720"/>
        </w:tabs>
        <w:ind w:hanging="0" w:start="720" w:end="0"/>
        <w:jc w:val="both"/>
        <w:rPr/>
      </w:pPr>
      <w:r>
        <w:rPr/>
        <w:t xml:space="preserve">Auction (forward/reverse) </w:t>
      </w:r>
    </w:p>
    <w:p>
      <w:pPr>
        <w:pStyle w:val="Normal"/>
        <w:numPr>
          <w:ilvl w:val="0"/>
          <w:numId w:val="2"/>
        </w:numPr>
        <w:ind w:hanging="0" w:start="720" w:end="0"/>
        <w:jc w:val="both"/>
        <w:rPr/>
      </w:pPr>
      <w:r>
        <w:rPr/>
        <w:t>Negotiated</w:t>
      </w:r>
    </w:p>
    <w:p>
      <w:pPr>
        <w:pStyle w:val="Normal"/>
        <w:numPr>
          <w:ilvl w:val="0"/>
          <w:numId w:val="2"/>
        </w:numPr>
        <w:ind w:hanging="0" w:start="720" w:end="0"/>
        <w:jc w:val="both"/>
        <w:rPr/>
      </w:pPr>
      <w:r>
        <w:rPr/>
        <w:t xml:space="preserve">Regular sale/purchase, </w:t>
      </w:r>
      <w:r>
        <w:rPr>
          <w:i/>
          <w:iCs/>
        </w:rPr>
        <w:t>e.g.</w:t>
      </w:r>
      <w:r>
        <w:rPr/>
        <w:t xml:space="preserve">, offer and sell good or service for specified price </w:t>
      </w:r>
    </w:p>
    <w:p>
      <w:pPr>
        <w:pStyle w:val="Normal"/>
        <w:numPr>
          <w:ilvl w:val="0"/>
          <w:numId w:val="2"/>
        </w:numPr>
        <w:tabs>
          <w:tab w:val="clear" w:pos="720"/>
        </w:tabs>
        <w:ind w:hanging="720" w:start="1440" w:end="0"/>
        <w:jc w:val="both"/>
        <w:rPr/>
      </w:pPr>
      <w:r>
        <w:rPr/>
        <w:t>Is acceptance or binding contract made, and/or closing done on or off DealBench site or is site used solely to negotiate transaction and/or as price discovery mechanism?</w:t>
      </w:r>
    </w:p>
    <w:p>
      <w:pPr>
        <w:pStyle w:val="Normal"/>
        <w:numPr>
          <w:ilvl w:val="0"/>
          <w:numId w:val="2"/>
        </w:numPr>
        <w:tabs>
          <w:tab w:val="clear" w:pos="720"/>
        </w:tabs>
        <w:ind w:hanging="720" w:start="1440" w:end="0"/>
        <w:jc w:val="both"/>
        <w:rPr/>
      </w:pPr>
      <w:r>
        <w:rPr/>
        <w:t>Private placement (primary or secondary transaction)</w:t>
      </w:r>
    </w:p>
    <w:p>
      <w:pPr>
        <w:pStyle w:val="Normal"/>
        <w:numPr>
          <w:ilvl w:val="0"/>
          <w:numId w:val="2"/>
        </w:numPr>
        <w:tabs>
          <w:tab w:val="clear" w:pos="720"/>
        </w:tabs>
        <w:ind w:hanging="720" w:start="1440" w:end="0"/>
        <w:jc w:val="both"/>
        <w:rPr/>
      </w:pPr>
      <w:r>
        <w:rPr/>
        <w:t>Public offering (primary or secondary transaction)</w:t>
      </w:r>
    </w:p>
    <w:p>
      <w:pPr>
        <w:pStyle w:val="Normal"/>
        <w:jc w:val="both"/>
        <w:rPr/>
      </w:pPr>
      <w:r>
        <w:rPr/>
      </w:r>
    </w:p>
    <w:p>
      <w:pPr>
        <w:pStyle w:val="Normal"/>
        <w:numPr>
          <w:ilvl w:val="0"/>
          <w:numId w:val="2"/>
        </w:numPr>
        <w:tabs>
          <w:tab w:val="clear" w:pos="720"/>
        </w:tabs>
        <w:ind w:hanging="0" w:start="0" w:end="0"/>
        <w:jc w:val="both"/>
        <w:rPr/>
      </w:pPr>
      <w:r>
        <w:rPr>
          <w:b/>
          <w:bCs/>
        </w:rPr>
        <w:t>DealBench Consideration</w:t>
      </w:r>
    </w:p>
    <w:p>
      <w:pPr>
        <w:pStyle w:val="Normal"/>
        <w:jc w:val="both"/>
        <w:rPr>
          <w:b/>
          <w:bCs/>
        </w:rPr>
      </w:pPr>
      <w:r>
        <w:rPr>
          <w:b/>
          <w:bCs/>
        </w:rPr>
      </w:r>
    </w:p>
    <w:p>
      <w:pPr>
        <w:pStyle w:val="Normal"/>
        <w:numPr>
          <w:ilvl w:val="0"/>
          <w:numId w:val="2"/>
        </w:numPr>
        <w:tabs>
          <w:tab w:val="clear" w:pos="720"/>
        </w:tabs>
        <w:ind w:hanging="0" w:start="720" w:end="0"/>
        <w:jc w:val="both"/>
        <w:rPr/>
      </w:pPr>
      <w:r>
        <w:rPr/>
        <w:t>Site License Fees based upon:</w:t>
      </w:r>
    </w:p>
    <w:p>
      <w:pPr>
        <w:pStyle w:val="Normal"/>
        <w:jc w:val="both"/>
        <w:rPr/>
      </w:pPr>
      <w:r>
        <w:rPr/>
      </w:r>
    </w:p>
    <w:p>
      <w:pPr>
        <w:pStyle w:val="Normal"/>
        <w:numPr>
          <w:ilvl w:val="3"/>
          <w:numId w:val="2"/>
        </w:numPr>
        <w:tabs>
          <w:tab w:val="clear" w:pos="720"/>
        </w:tabs>
        <w:ind w:hanging="0" w:start="1440" w:end="0"/>
        <w:jc w:val="both"/>
        <w:rPr/>
      </w:pPr>
      <w:r>
        <w:rPr/>
        <w:t>DealBench resources used (human and/or otherwise)</w:t>
      </w:r>
    </w:p>
    <w:p>
      <w:pPr>
        <w:pStyle w:val="Normal"/>
        <w:numPr>
          <w:ilvl w:val="3"/>
          <w:numId w:val="2"/>
        </w:numPr>
        <w:tabs>
          <w:tab w:val="clear" w:pos="720"/>
        </w:tabs>
        <w:ind w:hanging="0" w:start="1440" w:end="0"/>
        <w:jc w:val="both"/>
        <w:rPr/>
      </w:pPr>
      <w:r>
        <w:rPr/>
        <w:t>Deal success</w:t>
      </w:r>
    </w:p>
    <w:p>
      <w:pPr>
        <w:pStyle w:val="Normal"/>
        <w:numPr>
          <w:ilvl w:val="3"/>
          <w:numId w:val="2"/>
        </w:numPr>
        <w:tabs>
          <w:tab w:val="clear" w:pos="720"/>
        </w:tabs>
        <w:ind w:hanging="0" w:start="1440" w:end="0"/>
        <w:jc w:val="both"/>
        <w:rPr/>
      </w:pPr>
      <w:r>
        <w:rPr/>
        <w:t>Deal size</w:t>
      </w:r>
    </w:p>
    <w:p>
      <w:pPr>
        <w:pStyle w:val="Normal"/>
        <w:numPr>
          <w:ilvl w:val="3"/>
          <w:numId w:val="2"/>
        </w:numPr>
        <w:tabs>
          <w:tab w:val="clear" w:pos="720"/>
        </w:tabs>
        <w:ind w:hanging="0" w:start="1440" w:end="0"/>
        <w:jc w:val="both"/>
        <w:rPr/>
      </w:pPr>
      <w:r>
        <w:rPr/>
        <w:t>Deal type</w:t>
      </w:r>
    </w:p>
    <w:p>
      <w:pPr>
        <w:pStyle w:val="Normal"/>
        <w:numPr>
          <w:ilvl w:val="3"/>
          <w:numId w:val="2"/>
        </w:numPr>
        <w:tabs>
          <w:tab w:val="clear" w:pos="720"/>
        </w:tabs>
        <w:ind w:hanging="0" w:start="1440" w:end="0"/>
        <w:jc w:val="both"/>
        <w:rPr>
          <w:b/>
          <w:bCs/>
        </w:rPr>
      </w:pPr>
      <w:r>
        <w:rPr/>
        <w:t>Deal volume</w:t>
      </w:r>
      <w:r>
        <w:rPr>
          <w:b/>
          <w:bCs/>
        </w:rPr>
        <w:t xml:space="preserve"> </w:t>
      </w:r>
    </w:p>
    <w:p>
      <w:pPr>
        <w:pStyle w:val="Normal"/>
        <w:jc w:val="both"/>
        <w:rPr>
          <w:b/>
          <w:bCs/>
        </w:rPr>
      </w:pPr>
      <w:r>
        <w:rPr>
          <w:b/>
          <w:bCs/>
        </w:rPr>
      </w:r>
    </w:p>
    <w:p>
      <w:pPr>
        <w:pStyle w:val="Normal"/>
        <w:numPr>
          <w:ilvl w:val="0"/>
          <w:numId w:val="2"/>
        </w:numPr>
        <w:tabs>
          <w:tab w:val="clear" w:pos="720"/>
        </w:tabs>
        <w:ind w:hanging="0" w:start="720" w:end="0"/>
        <w:jc w:val="both"/>
        <w:rPr/>
      </w:pPr>
      <w:r>
        <w:rPr/>
        <w:t>Finder’s Fee (</w:t>
      </w:r>
      <w:r>
        <w:rPr>
          <w:i/>
          <w:iCs/>
        </w:rPr>
        <w:t>e.g.,</w:t>
      </w:r>
      <w:r>
        <w:rPr/>
        <w:t xml:space="preserve"> for activity described in second bullet point under Broker above)</w:t>
      </w:r>
    </w:p>
    <w:p>
      <w:pPr>
        <w:pStyle w:val="Normal"/>
        <w:jc w:val="both"/>
        <w:rPr/>
      </w:pPr>
      <w:r>
        <w:rPr/>
      </w:r>
    </w:p>
    <w:p>
      <w:pPr>
        <w:pStyle w:val="Normal"/>
        <w:numPr>
          <w:ilvl w:val="0"/>
          <w:numId w:val="2"/>
        </w:numPr>
        <w:tabs>
          <w:tab w:val="clear" w:pos="720"/>
        </w:tabs>
        <w:ind w:hanging="0" w:start="0" w:end="0"/>
        <w:jc w:val="both"/>
        <w:rPr/>
      </w:pPr>
      <w:r>
        <w:rPr>
          <w:b/>
          <w:bCs/>
        </w:rPr>
        <w:t>Provision of DealBench Auction Capability to EnronOnline</w:t>
      </w:r>
    </w:p>
    <w:sectPr>
      <w:type w:val="nextPage"/>
      <w:pgSz w:w="12240" w:h="15840"/>
      <w:pgMar w:left="1080" w:right="1080" w:gutter="0" w:header="0" w:top="144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720"/>
        </w:tabs>
        <w:ind w:start="2160" w:hanging="360"/>
      </w:pPr>
      <w:rPr>
        <w:rFonts w:ascii="Wingdings" w:hAnsi="Wingdings" w:cs="Wingdings" w:hint="default"/>
      </w:rPr>
    </w:lvl>
    <w:lvl w:ilvl="3">
      <w:start w:val="1"/>
      <w:numFmt w:val="bullet"/>
      <w:lvlText w:val="-"/>
      <w:lvlJc w:val="start"/>
      <w:pPr>
        <w:tabs>
          <w:tab w:val="num" w:pos="3240"/>
        </w:tabs>
        <w:ind w:start="3240" w:hanging="720"/>
      </w:pPr>
      <w:rPr>
        <w:rFonts w:ascii="Times New Roman" w:hAnsi="Times New Roman" w:cs="Times New Roman"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end"/>
      <w:outlineLvl w:val="0"/>
    </w:pPr>
    <w:rPr>
      <w:i/>
      <w:iCs/>
    </w:rPr>
  </w:style>
  <w:style w:type="character" w:styleId="WW8Num1z0">
    <w:name w:val="WW8Num1z0"/>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Times New Roman" w:hAnsi="Times New Roman" w:eastAsia="Times New Roman" w:cs="Times New Roma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2000-11-01T23:24:00Z</dcterms:created>
  <dc:creator>Ndobin</dc:creator>
  <dc:description/>
  <dc:language>en-CA</dc:language>
  <cp:lastModifiedBy>Ndobin</cp:lastModifiedBy>
  <cp:lastPrinted>2000-11-01T17:03:00Z</cp:lastPrinted>
  <dcterms:modified xsi:type="dcterms:W3CDTF">2000-11-01T23:31:00Z</dcterms:modified>
  <cp:revision>3</cp:revision>
  <dc:subject/>
  <dc:title>DEALBENCH, LLC</dc:title>
</cp:coreProperties>
</file>