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Discussion Points for 1/18/01 meeting of EBS Tax with Jan Haizmann and Michael Grimes of EBS regulatory:</w:t>
      </w:r>
    </w:p>
    <w:p>
      <w:pPr>
        <w:pStyle w:val="Normal"/>
        <w:numPr>
          <w:ilvl w:val="0"/>
          <w:numId w:val="2"/>
        </w:numPr>
        <w:rPr/>
      </w:pPr>
      <w:r>
        <w:rPr/>
        <w:t>The tax agenda for the meeting is to insure that the Asia regulatory responsibles understand the tax, legal, and commercial structuring objectives.</w:t>
      </w:r>
    </w:p>
    <w:p>
      <w:pPr>
        <w:pStyle w:val="Normal"/>
        <w:numPr>
          <w:ilvl w:val="0"/>
          <w:numId w:val="2"/>
        </w:numPr>
        <w:rPr/>
      </w:pPr>
      <w:r>
        <w:rPr/>
        <w:t>The ideal structure would have all trading of Asia bandwidth occur at any one of three regional EBS trading desks (see attached diagram).</w:t>
      </w:r>
    </w:p>
    <w:p>
      <w:pPr>
        <w:pStyle w:val="Normal"/>
        <w:numPr>
          <w:ilvl w:val="1"/>
          <w:numId w:val="2"/>
        </w:numPr>
        <w:rPr/>
      </w:pPr>
      <w:r>
        <w:rPr/>
        <w:t>The idea would be to permit 24 hour trading but still have centralized trading that would facilitate the monitoring of risk, reduce administrative costs, simplify transactions, and concentrate trading revenue as much as possible in low tax jurisdictions.</w:t>
      </w:r>
    </w:p>
    <w:p>
      <w:pPr>
        <w:pStyle w:val="Normal"/>
        <w:numPr>
          <w:ilvl w:val="2"/>
          <w:numId w:val="2"/>
        </w:numPr>
        <w:rPr/>
      </w:pPr>
      <w:r>
        <w:rPr/>
        <w:t>Bandwidth trading would include</w:t>
      </w:r>
    </w:p>
    <w:p>
      <w:pPr>
        <w:pStyle w:val="Normal"/>
        <w:numPr>
          <w:ilvl w:val="3"/>
          <w:numId w:val="2"/>
        </w:numPr>
        <w:rPr/>
      </w:pPr>
      <w:r>
        <w:rPr/>
        <w:t>International PoP to PoP circuits/lambdas</w:t>
      </w:r>
    </w:p>
    <w:p>
      <w:pPr>
        <w:pStyle w:val="Normal"/>
        <w:numPr>
          <w:ilvl w:val="3"/>
          <w:numId w:val="2"/>
        </w:numPr>
        <w:rPr/>
      </w:pPr>
      <w:r>
        <w:rPr/>
        <w:t>In-country circuits/lambdas</w:t>
      </w:r>
    </w:p>
    <w:p>
      <w:pPr>
        <w:pStyle w:val="Normal"/>
        <w:numPr>
          <w:ilvl w:val="3"/>
          <w:numId w:val="2"/>
        </w:numPr>
        <w:rPr/>
      </w:pPr>
      <w:r>
        <w:rPr/>
        <w:t>IP Transit/Transport, and related products</w:t>
      </w:r>
    </w:p>
    <w:p>
      <w:pPr>
        <w:pStyle w:val="Normal"/>
        <w:numPr>
          <w:ilvl w:val="3"/>
          <w:numId w:val="2"/>
        </w:numPr>
        <w:rPr/>
      </w:pPr>
      <w:r>
        <w:rPr/>
        <w:t>VOD, Mediacast, and related products</w:t>
      </w:r>
    </w:p>
    <w:p>
      <w:pPr>
        <w:pStyle w:val="Normal"/>
        <w:numPr>
          <w:ilvl w:val="1"/>
          <w:numId w:val="2"/>
        </w:numPr>
        <w:rPr/>
      </w:pPr>
      <w:r>
        <w:rPr/>
        <w:t>Licensed local entities would be established where necessary only to hold in-country equipment.  Such entities would be compensated by the trading desk entities on a cost-plus basis.</w:t>
      </w:r>
    </w:p>
    <w:p>
      <w:pPr>
        <w:pStyle w:val="Normal"/>
        <w:numPr>
          <w:ilvl w:val="0"/>
          <w:numId w:val="2"/>
        </w:numPr>
        <w:rPr/>
      </w:pPr>
      <w:r>
        <w:rPr/>
        <w:t xml:space="preserve">We need a written regulatory summary that </w:t>
      </w:r>
      <w:r>
        <w:rPr>
          <w:u w:val="single"/>
        </w:rPr>
        <w:t>specifically analyzes</w:t>
      </w:r>
      <w:r>
        <w:rPr/>
        <w:t xml:space="preserve"> the feasibility of the ideal structure from the regulatory standpoint. Please specifically note and elaborate wherever industry practice deviates from written regulatory rules.</w:t>
      </w:r>
    </w:p>
    <w:p>
      <w:pPr>
        <w:pStyle w:val="Normal"/>
        <w:numPr>
          <w:ilvl w:val="0"/>
          <w:numId w:val="2"/>
        </w:numPr>
        <w:rPr/>
      </w:pPr>
      <w:r>
        <w:rPr/>
        <w:t>If the ideal structure is not feasible for all trades, we need to understand specifically which types of trades are not feasible and we need to understand fully why not.</w:t>
      </w:r>
    </w:p>
    <w:p>
      <w:pPr>
        <w:pStyle w:val="Normal"/>
        <w:numPr>
          <w:ilvl w:val="1"/>
          <w:numId w:val="2"/>
        </w:numPr>
        <w:rPr/>
      </w:pPr>
      <w:r>
        <w:rPr/>
        <w:t>We also need to understand if there is any realistic way to effect favorable changes that would allow us to use the ideal structure or any other structure that achieves the same goals.</w:t>
      </w:r>
    </w:p>
    <w:p>
      <w:pPr>
        <w:pStyle w:val="Normal"/>
        <w:numPr>
          <w:ilvl w:val="0"/>
          <w:numId w:val="2"/>
        </w:numPr>
        <w:rPr/>
      </w:pPr>
      <w:r>
        <w:rPr/>
        <w:t>With respect to trades that are not feasible using the ideal structure, we need to understand what structuring options exist that would achieve at least some of the goals achieved by the ideal structure.  If none exist, we need to understand why not.  In this regard, we need to know the answer to the following questions:</w:t>
      </w:r>
    </w:p>
    <w:p>
      <w:pPr>
        <w:pStyle w:val="Normal"/>
        <w:numPr>
          <w:ilvl w:val="1"/>
          <w:numId w:val="2"/>
        </w:numPr>
        <w:rPr/>
      </w:pPr>
      <w:r>
        <w:rPr/>
        <w:t>Does the nature of the counterparty matter?  That is, is the regulatory answer more favorable (i.e., less restrictive) if the counterparty is:</w:t>
      </w:r>
    </w:p>
    <w:p>
      <w:pPr>
        <w:pStyle w:val="Normal"/>
        <w:numPr>
          <w:ilvl w:val="2"/>
          <w:numId w:val="2"/>
        </w:numPr>
        <w:rPr/>
      </w:pPr>
      <w:r>
        <w:rPr/>
        <w:t>an end-user, a network owner, a bandwidth dealer, or a bandwidth reseller; or</w:t>
      </w:r>
    </w:p>
    <w:p>
      <w:pPr>
        <w:pStyle w:val="Normal"/>
        <w:numPr>
          <w:ilvl w:val="2"/>
          <w:numId w:val="2"/>
        </w:numPr>
        <w:rPr/>
      </w:pPr>
      <w:r>
        <w:rPr/>
        <w:t>a resident of any particular foreign country</w:t>
      </w:r>
    </w:p>
    <w:p>
      <w:pPr>
        <w:pStyle w:val="Normal"/>
        <w:numPr>
          <w:ilvl w:val="1"/>
          <w:numId w:val="2"/>
        </w:numPr>
        <w:rPr/>
      </w:pPr>
      <w:r>
        <w:rPr/>
        <w:t>If a local license is required, may the local license be held by a foreign entity?</w:t>
      </w:r>
    </w:p>
    <w:p>
      <w:pPr>
        <w:pStyle w:val="Normal"/>
        <w:numPr>
          <w:ilvl w:val="2"/>
          <w:numId w:val="2"/>
        </w:numPr>
        <w:rPr/>
      </w:pPr>
      <w:r>
        <w:rPr/>
        <w:t>If so, does the foreign entity have to establish a branch in the local country or otherwise register to do business in the local country?  If so, what further requirements are entailed by the establishment of a branch or registration to do business (e.g., minimum capital investment, registration with corporate registrars, franchise fees, etc,)</w:t>
      </w:r>
    </w:p>
    <w:p>
      <w:pPr>
        <w:pStyle w:val="Normal"/>
        <w:numPr>
          <w:ilvl w:val="2"/>
          <w:numId w:val="2"/>
        </w:numPr>
        <w:rPr/>
      </w:pPr>
      <w:r>
        <w:rPr/>
        <w:t>If so, must all capacity within or terminating within the local country be purchased by the local branch?</w:t>
      </w:r>
    </w:p>
    <w:p>
      <w:pPr>
        <w:pStyle w:val="Normal"/>
        <w:numPr>
          <w:ilvl w:val="2"/>
          <w:numId w:val="2"/>
        </w:numPr>
        <w:rPr/>
      </w:pPr>
      <w:r>
        <w:rPr/>
        <w:t>If so, what is the demarcation point beyond which the local country does not require a license?</w:t>
      </w:r>
    </w:p>
    <w:p>
      <w:pPr>
        <w:pStyle w:val="Normal"/>
        <w:numPr>
          <w:ilvl w:val="2"/>
          <w:numId w:val="2"/>
        </w:numPr>
        <w:rPr/>
      </w:pPr>
      <w:r>
        <w:rPr/>
        <w:t>If not, is there anyway to obtain a license that would apply to the local license holder and one or more affiliates of the holder?</w:t>
      </w:r>
    </w:p>
    <w:p>
      <w:pPr>
        <w:pStyle w:val="Normal"/>
        <w:numPr>
          <w:ilvl w:val="1"/>
          <w:numId w:val="2"/>
        </w:numPr>
        <w:rPr/>
      </w:pPr>
      <w:r>
        <w:rPr/>
        <w:t>Does the location of the execution of the trade make a difference?</w:t>
      </w:r>
    </w:p>
    <w:p>
      <w:pPr>
        <w:pStyle w:val="Normal"/>
        <w:numPr>
          <w:ilvl w:val="1"/>
          <w:numId w:val="2"/>
        </w:numPr>
        <w:rPr/>
      </w:pPr>
      <w:r>
        <w:rPr/>
        <w:t>Can we limit the amount of revenue generated by a trade by having the regional trading desk buying and selling capacity up to a demarcation point at the international gateway or territorial waters, with the local entity buying and selling only capacity within the territorial waters or on the land side of the international gateway?</w:t>
      </w:r>
    </w:p>
    <w:p>
      <w:pPr>
        <w:pStyle w:val="Normal"/>
        <w:numPr>
          <w:ilvl w:val="0"/>
          <w:numId w:val="2"/>
        </w:numPr>
        <w:rPr/>
      </w:pPr>
      <w:r>
        <w:rPr/>
        <w:t>Are there significant license fees or other burdensome requirements of the licensee (e.g., employment of network engineers in the country)?</w:t>
      </w:r>
    </w:p>
    <w:p>
      <w:pPr>
        <w:pStyle w:val="Normal"/>
        <w:numPr>
          <w:ilvl w:val="1"/>
          <w:numId w:val="2"/>
        </w:numPr>
        <w:rPr/>
      </w:pPr>
      <w:r>
        <w:rPr/>
        <w:t>Specifically, in Singapore, would a bandwidth trading desk have to pay the 1% of turnover license fee?</w:t>
      </w:r>
    </w:p>
    <w:p>
      <w:pPr>
        <w:pStyle w:val="Normal"/>
        <w:numPr>
          <w:ilvl w:val="1"/>
          <w:numId w:val="2"/>
        </w:numPr>
        <w:rPr/>
      </w:pPr>
      <w:r>
        <w:rPr/>
        <w:t>Would the license fee apply to a separate Singaporean entity (affiliated with a Singapore licensee) set up to trade only bandwidth that did not require a Singapore license?</w:t>
      </w:r>
    </w:p>
    <w:p>
      <w:pPr>
        <w:pStyle w:val="Normal"/>
        <w:numPr>
          <w:ilvl w:val="0"/>
          <w:numId w:val="2"/>
        </w:numPr>
        <w:rPr>
          <w:color w:val="000000"/>
          <w:lang w:eastAsia="en-US"/>
        </w:rPr>
      </w:pPr>
      <w:r>
        <w:rPr/>
        <w:t>How much does a license cost, and how long does it take to get one?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lvl w:ilvl="1">
      <w:start w:val="1"/>
      <w:numFmt w:val="bullet"/>
      <w:lvlText w:val=""/>
      <w:lvlJc w:val="start"/>
      <w:pPr>
        <w:tabs>
          <w:tab w:val="num" w:pos="720"/>
        </w:tabs>
        <w:ind w:start="720" w:hanging="360"/>
      </w:pPr>
      <w:rPr>
        <w:rFonts w:ascii="Wingdings" w:hAnsi="Wingdings" w:cs="Wingdings" w:hint="default"/>
      </w:rPr>
    </w:lvl>
    <w:lvl w:ilvl="2">
      <w:start w:val="1"/>
      <w:numFmt w:val="bullet"/>
      <w:lvlText w:val=""/>
      <w:lvlJc w:val="start"/>
      <w:pPr>
        <w:tabs>
          <w:tab w:val="num" w:pos="1080"/>
        </w:tabs>
        <w:ind w:start="1080" w:hanging="360"/>
      </w:pPr>
      <w:rPr>
        <w:rFonts w:ascii="Wingdings" w:hAnsi="Wingdings" w:cs="Wingdings" w:hint="default"/>
      </w:rPr>
    </w:lvl>
    <w:lvl w:ilvl="3">
      <w:start w:val="1"/>
      <w:numFmt w:val="bullet"/>
      <w:lvlText w:val=""/>
      <w:lvlJc w:val="start"/>
      <w:pPr>
        <w:tabs>
          <w:tab w:val="num" w:pos="1440"/>
        </w:tabs>
        <w:ind w:start="1440" w:hanging="360"/>
      </w:pPr>
      <w:rPr>
        <w:rFonts w:ascii="Symbol" w:hAnsi="Symbol" w:cs="Symbol" w:hint="default"/>
      </w:rPr>
    </w:lvl>
    <w:lvl w:ilvl="4">
      <w:start w:val="1"/>
      <w:numFmt w:val="bullet"/>
      <w:lvlText w:val=""/>
      <w:lvlJc w:val="start"/>
      <w:pPr>
        <w:tabs>
          <w:tab w:val="num" w:pos="1800"/>
        </w:tabs>
        <w:ind w:start="1800" w:hanging="360"/>
      </w:pPr>
      <w:rPr>
        <w:rFonts w:ascii="Symbol" w:hAnsi="Symbol" w:cs="Symbol" w:hint="default"/>
      </w:rPr>
    </w:lvl>
    <w:lvl w:ilvl="5">
      <w:start w:val="1"/>
      <w:numFmt w:val="bullet"/>
      <w:lvlText w:val=""/>
      <w:lvlJc w:val="start"/>
      <w:pPr>
        <w:tabs>
          <w:tab w:val="num" w:pos="2160"/>
        </w:tabs>
        <w:ind w:start="2160" w:hanging="360"/>
      </w:pPr>
      <w:rPr>
        <w:rFonts w:ascii="Wingdings" w:hAnsi="Wingdings" w:cs="Wingdings" w:hint="default"/>
      </w:rPr>
    </w:lvl>
    <w:lvl w:ilvl="6">
      <w:start w:val="1"/>
      <w:numFmt w:val="bullet"/>
      <w:lvlText w:val=""/>
      <w:lvlJc w:val="start"/>
      <w:pPr>
        <w:tabs>
          <w:tab w:val="num" w:pos="2520"/>
        </w:tabs>
        <w:ind w:start="2520" w:hanging="360"/>
      </w:pPr>
      <w:rPr>
        <w:rFonts w:ascii="Wingdings" w:hAnsi="Wingdings" w:cs="Wingdings" w:hint="default"/>
      </w:rPr>
    </w:lvl>
    <w:lvl w:ilvl="7">
      <w:start w:val="1"/>
      <w:numFmt w:val="bullet"/>
      <w:lvlText w:val=""/>
      <w:lvlJc w:val="start"/>
      <w:pPr>
        <w:tabs>
          <w:tab w:val="num" w:pos="2880"/>
        </w:tabs>
        <w:ind w:start="2880" w:hanging="360"/>
      </w:pPr>
      <w:rPr>
        <w:rFonts w:ascii="Symbol" w:hAnsi="Symbol" w:cs="Symbol" w:hint="default"/>
      </w:rPr>
    </w:lvl>
    <w:lvl w:ilvl="8">
      <w:start w:val="1"/>
      <w:numFmt w:val="bullet"/>
      <w:lvlText w:val=""/>
      <w:lvlJc w:val="start"/>
      <w:pPr>
        <w:tabs>
          <w:tab w:val="num" w:pos="324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32"/>
    </w:rPr>
  </w:style>
  <w:style w:type="paragraph" w:styleId="Heading2">
    <w:name w:val="heading 2"/>
    <w:basedOn w:val="Normal"/>
    <w:next w:val="Normal"/>
    <w:qFormat/>
    <w:pPr>
      <w:keepNext w:val="true"/>
      <w:numPr>
        <w:ilvl w:val="1"/>
        <w:numId w:val="1"/>
      </w:numPr>
      <w:spacing w:before="240" w:after="60"/>
      <w:outlineLvl w:val="1"/>
    </w:pPr>
    <w:rPr>
      <w:b/>
      <w:i/>
      <w:sz w:val="28"/>
    </w:rPr>
  </w:style>
  <w:style w:type="paragraph" w:styleId="Heading3">
    <w:name w:val="heading 3"/>
    <w:basedOn w:val="Normal"/>
    <w:next w:val="Normal"/>
    <w:qFormat/>
    <w:pPr>
      <w:keepNext w:val="true"/>
      <w:numPr>
        <w:ilvl w:val="2"/>
        <w:numId w:val="1"/>
      </w:numPr>
      <w:spacing w:before="240" w:after="60"/>
      <w:jc w:val="both"/>
      <w:outlineLvl w:val="2"/>
    </w:pPr>
    <w:rPr>
      <w:b/>
      <w:sz w:val="26"/>
      <w:u w:val="single"/>
    </w:rPr>
  </w:style>
  <w:style w:type="paragraph" w:styleId="Heading4">
    <w:name w:val="heading 4"/>
    <w:basedOn w:val="Normal"/>
    <w:next w:val="Normal"/>
    <w:qFormat/>
    <w:pPr>
      <w:keepNext w:val="true"/>
      <w:numPr>
        <w:ilvl w:val="3"/>
        <w:numId w:val="1"/>
      </w:numPr>
      <w:spacing w:before="240" w:after="60"/>
      <w:outlineLvl w:val="3"/>
    </w:pPr>
    <w:rPr>
      <w:b/>
      <w:i/>
      <w:sz w:val="26"/>
      <w:u w:val="single"/>
    </w:rPr>
  </w:style>
  <w:style w:type="paragraph" w:styleId="Heading5">
    <w:name w:val="heading 5"/>
    <w:basedOn w:val="Normal"/>
    <w:next w:val="Normal"/>
    <w:qFormat/>
    <w:pPr>
      <w:numPr>
        <w:ilvl w:val="4"/>
        <w:numId w:val="1"/>
      </w:numPr>
      <w:spacing w:before="240" w:after="60"/>
      <w:outlineLvl w:val="4"/>
    </w:pPr>
    <w:rPr>
      <w:i/>
    </w:rPr>
  </w:style>
  <w:style w:type="paragraph" w:styleId="Heading6">
    <w:name w:val="heading 6"/>
    <w:basedOn w:val="Normal"/>
    <w:next w:val="Normal"/>
    <w:qFormat/>
    <w:pPr>
      <w:numPr>
        <w:ilvl w:val="5"/>
        <w:numId w:val="1"/>
      </w:numPr>
      <w:spacing w:before="240" w:after="60"/>
      <w:outlineLvl w:val="5"/>
    </w:pPr>
    <w:rPr>
      <w:i/>
    </w:rPr>
  </w:style>
  <w:style w:type="character" w:styleId="WW8Num1z0">
    <w:name w:val="WW8Num1z0"/>
    <w:qFormat/>
    <w:rPr>
      <w:rFonts w:ascii="Symbol" w:hAnsi="Symbol" w:cs="Symbol"/>
      <w:color w:val="auto"/>
      <w:sz w:val="28"/>
    </w:rPr>
  </w:style>
  <w:style w:type="character" w:styleId="WW8Num1z1">
    <w:name w:val="WW8Num1z1"/>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cs="Times New Roman"/>
      <w:b/>
      <w:i w:val="false"/>
      <w:u w:val="none"/>
    </w:rPr>
  </w:style>
  <w:style w:type="character" w:styleId="WW8Num2z1">
    <w:name w:val="WW8Num2z1"/>
    <w:qFormat/>
    <w:rPr>
      <w:rFonts w:ascii="Times New Roman" w:hAnsi="Times New Roman" w:cs="Times New Roman"/>
      <w:b/>
      <w:i w:val="false"/>
      <w:sz w:val="24"/>
    </w:rPr>
  </w:style>
  <w:style w:type="character" w:styleId="WW8Num2z2">
    <w:name w:val="WW8Num2z2"/>
    <w:qFormat/>
    <w:rPr>
      <w:rFonts w:ascii="Times New Roman" w:hAnsi="Times New Roman" w:cs="Times New Roman"/>
      <w:b w:val="false"/>
      <w:i w:val="false"/>
      <w:sz w:val="24"/>
    </w:rPr>
  </w:style>
  <w:style w:type="character" w:styleId="WW8Num2z3">
    <w:name w:val="WW8Num2z3"/>
    <w:qFormat/>
    <w:rPr>
      <w:rFonts w:ascii="Times New Roman" w:hAnsi="Times New Roman" w:cs="Times New Roman"/>
      <w:sz w:val="24"/>
    </w:rPr>
  </w:style>
  <w:style w:type="character" w:styleId="WW8Num2z4">
    <w:name w:val="WW8Num2z4"/>
    <w:qFormat/>
    <w:rPr>
      <w:rFonts w:ascii="Times New Roman" w:hAnsi="Times New Roman" w:cs="Times New Roman"/>
      <w:b w:val="false"/>
      <w:i/>
      <w:sz w:val="24"/>
    </w:rPr>
  </w:style>
  <w:style w:type="character" w:styleId="WW8Num3z0">
    <w:name w:val="WW8Num3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yle11">
    <w:name w:val="Style1"/>
    <w:basedOn w:val="Heading6"/>
    <w:qFormat/>
    <w:pPr>
      <w:numPr>
        <w:ilvl w:val="0"/>
        <w:numId w:val="0"/>
      </w:numPr>
      <w:outlineLvl w:val="9"/>
    </w:pPr>
    <w:rPr>
      <w:b/>
      <w:u w:val="single"/>
    </w:rPr>
  </w:style>
  <w:style w:type="paragraph" w:styleId="FootnoteText">
    <w:name w:val="foot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2001-01-18T16:02:00Z</dcterms:created>
  <dc:creator>W. Wayne Gardner</dc:creator>
  <dc:description/>
  <dc:language>en-CA</dc:language>
  <cp:lastModifiedBy>W. Wayne Gardner</cp:lastModifiedBy>
  <cp:lastPrinted>2001-01-18T15:02:00Z</cp:lastPrinted>
  <dcterms:modified xsi:type="dcterms:W3CDTF">2001-01-18T19:18:00Z</dcterms:modified>
  <cp:revision>1</cp:revision>
  <dc:subject/>
  <dc:title>Discussion Points for 1/18/01 meeting of EBS Tax with Jan Haizmann and Michael Grimes of EBS regulatory:</dc:title>
</cp:coreProperties>
</file>