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lang w:val="pl-PL"/>
        </w:rPr>
      </w:pPr>
      <w:r>
        <w:rPr>
          <w:lang w:val="pl-PL"/>
        </w:rPr>
        <w:t>W roku 2000 Zarząd w dalszym ciągu zajmował się stworzeniem odpowiednich struktur organizacyjnych Spółki oraz niezbędnej materialnej infrastruktury pod przyszłą działalność handlową w sektorze energetycznym.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BodyText3"/>
        <w:rPr/>
      </w:pPr>
      <w:r>
        <w:rPr>
          <w:lang w:val="pl-PL"/>
        </w:rPr>
        <w:t>W sierpniu Spółka przeprowadziła się do nowej siedziby, która została zaprojektowana i wyposażona zgodnie z wymogami przyszłej działalności handlowej, stwarzając także możliwość znaczącego wzrostu zatrudnienia w przyszłości. Przy aranżacji i wyposażaniu nowego biura Spółka korzystała z usług firmy Enron Power Operations Ltd..</w:t>
      </w:r>
    </w:p>
    <w:p>
      <w:pPr>
        <w:pStyle w:val="BodyText3"/>
        <w:rPr>
          <w:lang w:val="pl-PL"/>
        </w:rPr>
      </w:pPr>
      <w:r>
        <w:rPr>
          <w:lang w:val="pl-PL"/>
        </w:rPr>
      </w:r>
    </w:p>
    <w:p>
      <w:pPr>
        <w:pStyle w:val="BodyText3"/>
        <w:rPr>
          <w:lang w:val="pl-PL"/>
        </w:rPr>
      </w:pPr>
      <w:r>
        <w:rPr>
          <w:lang w:val="pl-PL"/>
        </w:rPr>
        <w:t>Równocześnie prowadzono badania rynku, kompletowano bazę danych dla potrzeb handlu energią oraz prowadzono działalność marketingową. Złożono także wnioski do Urzędu Regulacji Energetyki o zatwierdzenie taryfy na obrót energią elektryczną oraz o udzielenie koncesji na obrót gazem ziemnym.</w:t>
      </w:r>
    </w:p>
    <w:p>
      <w:pPr>
        <w:pStyle w:val="BodyText3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/>
      </w:pPr>
      <w:r>
        <w:rPr>
          <w:lang w:val="pl-PL"/>
        </w:rPr>
        <w:t>Firma brała aktywny udział w opiniowaniu aktów prawnych i rozwiązań dotyczących regulacji przyszłego rynku energii. Świadczyła także usługi konsultingowe na rzecz zagranicznej spółki stowarzyszonej, w zakresie marketingu i przetargów na dostawy turbin wiatrowych dla krajowych elektrowni wiatrowych.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>Przygotowano i przedstawiono potencjalnym klientom szereg propozycji i ofert w zakresie zakupu lub wydzierżawienia aktywów autogeneracji i dystrybucji energii elektrycznej, eksportu energii elektrycznej i gazu oraz zarządzania ryzykiem. Powyższe działania nie doprowadziły jednak do zawarcia transakcji w roku sprawozdawczym.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>Opóźnienia w procesie liberalizacji rynku energii elektrycznej i rozwoju handlu na giełdzie energii uniemożliwiły spółce rozpoczęcie obrotu energią elektryczną.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BodyText"/>
        <w:rPr/>
      </w:pPr>
      <w:r>
        <w:rPr/>
        <w:t xml:space="preserve">W roku 2001, z chwilą uruchomienia rynku bilansowego i wdrożenia Systemu Opłat Kompensacyjnych, Spółka planuje rozpocząć obrót energią elektryczną. Spółka zamierza także rozpocząć obrót gazem ziemnym. W dalszym ciągu Spółka będzie prowadzić działania mające na celu pozyskanie dostaw energii elektrycznej i gazu ziemnego. </w:t>
      </w:r>
    </w:p>
    <w:p>
      <w:pPr>
        <w:pStyle w:val="Normal"/>
        <w:tabs>
          <w:tab w:val="clear" w:pos="720"/>
          <w:tab w:val="left" w:pos="0" w:leader="none"/>
          <w:tab w:val="left" w:pos="284" w:leader="none"/>
          <w:tab w:val="left" w:pos="567" w:leader="none"/>
          <w:tab w:val="left" w:pos="851" w:leader="none"/>
          <w:tab w:val="left" w:pos="1134" w:leader="none"/>
          <w:tab w:val="left" w:pos="1701" w:leader="none"/>
          <w:tab w:val="left" w:pos="4536" w:leader="none"/>
          <w:tab w:val="right" w:pos="5387" w:leader="none"/>
          <w:tab w:val="left" w:pos="5954" w:leader="none"/>
          <w:tab w:val="decimal" w:pos="7088" w:leader="none"/>
          <w:tab w:val="left" w:pos="7655" w:leader="none"/>
          <w:tab w:val="decimal" w:pos="8789" w:leader="none"/>
        </w:tabs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3119" w:leader="none"/>
          <w:tab w:val="decimal" w:pos="5241" w:leader="none"/>
          <w:tab w:val="left" w:pos="6237" w:leader="none"/>
          <w:tab w:val="left" w:pos="7358" w:leader="none"/>
          <w:tab w:val="decimal" w:pos="9072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701" w:leader="none"/>
          <w:tab w:val="left" w:pos="2044" w:leader="none"/>
          <w:tab w:val="left" w:pos="3119" w:leader="none"/>
          <w:tab w:val="decimal" w:pos="5241" w:leader="none"/>
          <w:tab w:val="left" w:pos="6237" w:leader="none"/>
          <w:tab w:val="left" w:pos="7358" w:leader="none"/>
          <w:tab w:val="decimal" w:pos="8222" w:leader="none"/>
        </w:tabs>
        <w:rPr>
          <w:sz w:val="22"/>
          <w:lang w:val="pl-PL"/>
        </w:rPr>
      </w:pPr>
      <w:r>
        <w:rPr>
          <w:sz w:val="22"/>
          <w:u w:val="single"/>
          <w:lang w:val="pl-PL"/>
        </w:rPr>
        <w:tab/>
        <w:tab/>
        <w:tab/>
        <w:tab/>
        <w:tab/>
      </w:r>
      <w:r>
        <w:rPr>
          <w:sz w:val="22"/>
          <w:lang w:val="pl-PL"/>
        </w:rPr>
        <w:tab/>
        <w:tab/>
        <w:tab/>
        <w:tab/>
      </w:r>
      <w:r>
        <w:rPr>
          <w:sz w:val="22"/>
          <w:u w:val="single"/>
          <w:lang w:val="pl-PL"/>
        </w:rPr>
        <w:tab/>
        <w:tab/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>Jarek Astramowicz</w:t>
        <w:tab/>
        <w:t>Jarosław Dybowski</w:t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 xml:space="preserve">Prezes Zarządu </w:t>
        <w:tab/>
        <w:t>Członek Zarządu</w:t>
        <w:tab/>
      </w:r>
    </w:p>
    <w:p>
      <w:pPr>
        <w:pStyle w:val="Normal"/>
        <w:tabs>
          <w:tab w:val="clear" w:pos="720"/>
          <w:tab w:val="left" w:pos="765" w:leader="none"/>
          <w:tab w:val="left" w:pos="3119" w:leader="none"/>
          <w:tab w:val="left" w:pos="6237" w:leader="none"/>
          <w:tab w:val="left" w:pos="9072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5" w:leader="none"/>
          <w:tab w:val="left" w:pos="3119" w:leader="none"/>
          <w:tab w:val="left" w:pos="6237" w:leader="none"/>
          <w:tab w:val="left" w:pos="9072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5" w:leader="none"/>
          <w:tab w:val="left" w:pos="1701" w:leader="none"/>
          <w:tab w:val="left" w:pos="6237" w:leader="none"/>
          <w:tab w:val="left" w:pos="8222" w:leader="none"/>
        </w:tabs>
        <w:rPr>
          <w:sz w:val="22"/>
          <w:lang w:val="pl-PL"/>
        </w:rPr>
      </w:pPr>
      <w:r>
        <w:rPr>
          <w:sz w:val="22"/>
          <w:u w:val="single"/>
          <w:lang w:val="pl-PL"/>
        </w:rPr>
        <w:tab/>
        <w:tab/>
      </w:r>
      <w:r>
        <w:rPr>
          <w:sz w:val="22"/>
          <w:lang w:val="pl-PL"/>
        </w:rPr>
        <w:tab/>
      </w:r>
      <w:r>
        <w:rPr>
          <w:sz w:val="22"/>
          <w:u w:val="single"/>
          <w:lang w:val="pl-PL"/>
        </w:rPr>
        <w:tab/>
      </w:r>
    </w:p>
    <w:p>
      <w:pPr>
        <w:pStyle w:val="Normal"/>
        <w:tabs>
          <w:tab w:val="clear" w:pos="720"/>
          <w:tab w:val="left" w:pos="765" w:leader="none"/>
          <w:tab w:val="left" w:pos="6237" w:leader="none"/>
        </w:tabs>
        <w:ind w:hanging="6237" w:start="6237" w:end="0"/>
        <w:rPr/>
      </w:pPr>
      <w:r>
        <w:rPr>
          <w:sz w:val="22"/>
          <w:lang w:val="pl-PL"/>
        </w:rPr>
        <w:t>Joseph Gold</w:t>
        <w:tab/>
        <w:t>James V. Derrick Jr.</w:t>
      </w:r>
    </w:p>
    <w:p>
      <w:pPr>
        <w:pStyle w:val="Normal"/>
        <w:tabs>
          <w:tab w:val="clear" w:pos="720"/>
          <w:tab w:val="left" w:pos="765" w:leader="none"/>
          <w:tab w:val="left" w:pos="6237" w:leader="none"/>
        </w:tabs>
        <w:ind w:hanging="6237" w:start="6237" w:end="0"/>
        <w:rPr>
          <w:sz w:val="22"/>
          <w:lang w:val="pl-PL"/>
        </w:rPr>
      </w:pPr>
      <w:r>
        <w:rPr>
          <w:sz w:val="22"/>
          <w:lang w:val="pl-PL"/>
        </w:rPr>
        <w:t>Członek Zarządu</w:t>
        <w:tab/>
        <w:t>Członek Zarządu</w:t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701" w:leader="none"/>
          <w:tab w:val="left" w:pos="2044" w:leader="none"/>
          <w:tab w:val="left" w:pos="3119" w:leader="none"/>
          <w:tab w:val="decimal" w:pos="5241" w:leader="none"/>
          <w:tab w:val="left" w:pos="6237" w:leader="none"/>
          <w:tab w:val="left" w:pos="7358" w:leader="none"/>
          <w:tab w:val="decimal" w:pos="8222" w:leader="none"/>
        </w:tabs>
        <w:rPr>
          <w:sz w:val="22"/>
          <w:lang w:val="pl-PL"/>
        </w:rPr>
      </w:pPr>
      <w:r>
        <w:rPr>
          <w:sz w:val="22"/>
          <w:u w:val="single"/>
          <w:lang w:val="pl-PL"/>
        </w:rPr>
        <w:tab/>
        <w:tab/>
        <w:tab/>
        <w:tab/>
        <w:tab/>
      </w:r>
      <w:r>
        <w:rPr>
          <w:sz w:val="22"/>
          <w:lang w:val="pl-PL"/>
        </w:rPr>
        <w:tab/>
        <w:tab/>
        <w:tab/>
        <w:tab/>
      </w:r>
      <w:r>
        <w:rPr>
          <w:sz w:val="22"/>
          <w:u w:val="single"/>
          <w:lang w:val="pl-PL"/>
        </w:rPr>
        <w:tab/>
        <w:tab/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>Mark Frevert</w:t>
        <w:tab/>
        <w:t>Krzysztof Forycki</w:t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 xml:space="preserve">Członek Zarządu </w:t>
        <w:tab/>
        <w:t>Członek Zarządu</w:t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>16 czerwca 2001 r.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" w:leader="none"/>
        <w:tab w:val="left" w:pos="255" w:leader="none"/>
        <w:tab w:val="left" w:pos="766" w:leader="none"/>
        <w:tab w:val="left" w:pos="1192" w:leader="none"/>
        <w:tab w:val="left" w:pos="1618" w:leader="none"/>
        <w:tab w:val="left" w:pos="2044" w:leader="none"/>
        <w:tab w:val="center" w:pos="4320" w:leader="none"/>
        <w:tab w:val="left" w:pos="5026" w:leader="none"/>
        <w:tab w:val="decimal" w:pos="5878" w:leader="none"/>
        <w:tab w:val="left" w:pos="7057" w:leader="none"/>
        <w:tab w:val="decimal" w:pos="7994" w:leader="none"/>
        <w:tab w:val="left" w:pos="8367" w:leader="none"/>
        <w:tab w:val="right" w:pos="8640" w:leader="none"/>
        <w:tab w:val="decimal" w:pos="9319" w:leader="none"/>
      </w:tabs>
      <w:ind w:start="1" w:end="0"/>
      <w:jc w:val="both"/>
      <w:rPr>
        <w:b/>
        <w:sz w:val="22"/>
      </w:rPr>
    </w:pPr>
    <w:r>
      <w:rPr>
        <w:b/>
        <w:sz w:val="22"/>
      </w:rPr>
      <w:t>ENRON POLAND Sp. z o. o.</w:t>
    </w:r>
  </w:p>
  <w:p>
    <w:pPr>
      <w:pStyle w:val="Header"/>
      <w:tabs>
        <w:tab w:val="left" w:pos="1" w:leader="none"/>
        <w:tab w:val="left" w:pos="255" w:leader="none"/>
        <w:tab w:val="left" w:pos="766" w:leader="none"/>
        <w:tab w:val="left" w:pos="1192" w:leader="none"/>
        <w:tab w:val="left" w:pos="1618" w:leader="none"/>
        <w:tab w:val="left" w:pos="2044" w:leader="none"/>
        <w:tab w:val="center" w:pos="4320" w:leader="none"/>
        <w:tab w:val="left" w:pos="5026" w:leader="none"/>
        <w:tab w:val="decimal" w:pos="5878" w:leader="none"/>
        <w:tab w:val="left" w:pos="7057" w:leader="none"/>
        <w:tab w:val="decimal" w:pos="7994" w:leader="none"/>
        <w:tab w:val="left" w:pos="8367" w:leader="none"/>
        <w:tab w:val="right" w:pos="8640" w:leader="none"/>
        <w:tab w:val="decimal" w:pos="9319" w:leader="none"/>
      </w:tabs>
      <w:ind w:start="1" w:end="0"/>
      <w:jc w:val="both"/>
      <w:rPr>
        <w:b/>
        <w:sz w:val="22"/>
      </w:rPr>
    </w:pPr>
    <w:r>
      <w:rPr>
        <w:b/>
        <w:sz w:val="22"/>
      </w:rPr>
      <w:t>SPRAWOZDANIE Z DZIAŁALNOŚCI W ROKU OBROTOWYM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0" w:leader="none"/>
        <w:tab w:val="left" w:pos="284" w:leader="none"/>
        <w:tab w:val="left" w:pos="567" w:leader="none"/>
        <w:tab w:val="left" w:pos="851" w:leader="none"/>
        <w:tab w:val="left" w:pos="1134" w:leader="none"/>
        <w:tab w:val="left" w:pos="1701" w:leader="none"/>
        <w:tab w:val="left" w:pos="4536" w:leader="none"/>
        <w:tab w:val="right" w:pos="5387" w:leader="none"/>
        <w:tab w:val="left" w:pos="5954" w:leader="none"/>
        <w:tab w:val="decimal" w:pos="7088" w:leader="none"/>
        <w:tab w:val="left" w:pos="7655" w:leader="none"/>
        <w:tab w:val="decimal" w:pos="8789" w:leader="none"/>
      </w:tabs>
    </w:pPr>
    <w:rPr>
      <w:szCs w:val="20"/>
      <w:lang w:val="pl-P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>
      <w:jc w:val="both"/>
    </w:pPr>
    <w:rPr>
      <w:szCs w:val="20"/>
      <w:lang w:val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2001-05-15T06:26:00Z</dcterms:created>
  <dc:creator>arafalsk</dc:creator>
  <dc:description/>
  <dc:language>en-CA</dc:language>
  <cp:lastModifiedBy>arafalsk</cp:lastModifiedBy>
  <dcterms:modified xsi:type="dcterms:W3CDTF">2001-05-15T06:26:00Z</dcterms:modified>
  <cp:revision>2</cp:revision>
  <dc:subject/>
  <dc:title>W roku 2000 Zarząd w dalszym ciągu zajmował się stworzeniem odpowiednich struktur organizacyjnych Spółki oraz niezbędnej mater</dc:title>
</cp:coreProperties>
</file>