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hadow/>
          <w:sz w:val="32"/>
        </w:rPr>
      </w:pPr>
      <w:r>
        <w:rPr>
          <w:shadow/>
          <w:sz w:val="32"/>
        </w:rPr>
        <w:t xml:space="preserve">European Commission’s Proposal </w:t>
      </w:r>
    </w:p>
    <w:p>
      <w:pPr>
        <w:pStyle w:val="BodyText"/>
        <w:jc w:val="center"/>
        <w:rPr>
          <w:rFonts w:ascii="Georgia" w:hAnsi="Georgia" w:cs="Georgia"/>
          <w:shadow/>
          <w:sz w:val="32"/>
        </w:rPr>
      </w:pPr>
      <w:r>
        <w:rPr>
          <w:rFonts w:cs="Georgia" w:ascii="Georgia" w:hAnsi="Georgia"/>
          <w:shadow/>
          <w:sz w:val="32"/>
        </w:rPr>
      </w:r>
    </w:p>
    <w:p>
      <w:pPr>
        <w:pStyle w:val="BodyText"/>
        <w:jc w:val="center"/>
        <w:rPr>
          <w:rFonts w:ascii="Georgia" w:hAnsi="Georgia" w:cs="Georgia"/>
          <w:caps w:val="false"/>
          <w:smallCaps w:val="false"/>
          <w:sz w:val="24"/>
        </w:rPr>
      </w:pPr>
      <w:r>
        <w:rPr>
          <w:rFonts w:cs="Georgia" w:ascii="Georgia" w:hAnsi="Georgia"/>
          <w:caps w:val="false"/>
          <w:smallCaps w:val="false"/>
          <w:sz w:val="24"/>
        </w:rPr>
        <w:t>for a new Directive amending Directives 96/92/EC and 98/30/EC concerning common rules for the internal market in electricity and natural gas</w:t>
      </w:r>
    </w:p>
    <w:p>
      <w:pPr>
        <w:pStyle w:val="Normal"/>
        <w:rPr>
          <w:rFonts w:ascii="Georgia" w:hAnsi="Georgia" w:cs="Georgia"/>
          <w:smallCaps/>
          <w:sz w:val="24"/>
        </w:rPr>
      </w:pPr>
      <w:r>
        <w:rPr>
          <w:rFonts w:cs="Georgia" w:ascii="Georgia" w:hAnsi="Georgia"/>
          <w:smallCaps/>
          <w:sz w:val="24"/>
        </w:rPr>
      </w:r>
    </w:p>
    <w:p>
      <w:pPr>
        <w:pStyle w:val="Normal"/>
        <w:rPr/>
      </w:pPr>
      <w:r>
        <w:rPr/>
      </w:r>
    </w:p>
    <w:p>
      <w:pPr>
        <w:pStyle w:val="Heading1"/>
        <w:ind w:hanging="0" w:start="0"/>
        <w:jc w:val="center"/>
        <w:rPr>
          <w:b/>
        </w:rPr>
      </w:pPr>
      <w:r>
        <w:rPr>
          <w:b/>
        </w:rPr>
        <w:t>(Final text of the proposal adopted in Brussels on 13/03/01)</w:t>
      </w:r>
    </w:p>
    <w:p>
      <w:pPr>
        <w:pStyle w:val="Normal"/>
        <w:rPr>
          <w:b/>
        </w:rPr>
      </w:pPr>
      <w:r>
        <w:rPr>
          <w:b/>
        </w:rPr>
      </w:r>
    </w:p>
    <w:p>
      <w:pPr>
        <w:pStyle w:val="Normal"/>
        <w:rPr>
          <w:b/>
          <w:sz w:val="28"/>
        </w:rPr>
      </w:pPr>
      <w:r>
        <w:rPr>
          <w:b/>
          <w:sz w:val="28"/>
        </w:rPr>
      </w:r>
    </w:p>
    <w:p>
      <w:pPr>
        <w:pStyle w:val="BodyText"/>
        <w:rPr>
          <w:caps w:val="false"/>
          <w:smallCaps w:val="false"/>
        </w:rPr>
      </w:pPr>
      <w:r>
        <w:rPr>
          <w:caps w:val="false"/>
          <w:smallCaps w:val="false"/>
        </w:rPr>
        <w:t>Summary of the most important changes in the final text as introduced since the draft of February 2001 (summary of which is attached)</w:t>
      </w:r>
    </w:p>
    <w:p>
      <w:pPr>
        <w:pStyle w:val="Normal"/>
        <w:rPr>
          <w:b/>
          <w:smallCaps/>
          <w:sz w:val="28"/>
          <w:u w:val="single"/>
        </w:rPr>
      </w:pPr>
      <w:r>
        <w:rPr>
          <w:b/>
          <w:smallCaps/>
          <w:sz w:val="28"/>
          <w:u w:val="single"/>
        </w:rPr>
      </w:r>
    </w:p>
    <w:p>
      <w:pPr>
        <w:pStyle w:val="Normal"/>
        <w:rPr/>
      </w:pPr>
      <w:r>
        <w:rPr>
          <w:b/>
          <w:smallCaps/>
          <w:sz w:val="28"/>
          <w:u w:val="single"/>
        </w:rPr>
        <w:t xml:space="preserve">NB:  </w:t>
      </w:r>
      <w:r>
        <w:rPr>
          <w:i/>
          <w:sz w:val="24"/>
          <w:u w:val="single"/>
        </w:rPr>
        <w:t>All references are made to  new or amended Articles and clauses of the original Electricity and Gas Directives</w:t>
      </w:r>
    </w:p>
    <w:p>
      <w:pPr>
        <w:pStyle w:val="Normal"/>
        <w:rPr>
          <w:b/>
          <w:i/>
          <w:i/>
          <w:sz w:val="28"/>
          <w:u w:val="single"/>
        </w:rPr>
      </w:pPr>
      <w:r>
        <w:rPr>
          <w:b/>
          <w:i/>
          <w:sz w:val="28"/>
          <w:u w:val="single"/>
        </w:rPr>
      </w:r>
    </w:p>
    <w:p>
      <w:pPr>
        <w:pStyle w:val="Normal"/>
        <w:numPr>
          <w:ilvl w:val="0"/>
          <w:numId w:val="7"/>
        </w:numPr>
        <w:rPr>
          <w:sz w:val="24"/>
        </w:rPr>
      </w:pPr>
      <w:r>
        <w:rPr>
          <w:rFonts w:cs="Georgia" w:ascii="Georgia" w:hAnsi="Georgia"/>
          <w:b/>
          <w:sz w:val="24"/>
        </w:rPr>
        <w:t>Recital 10 (VV accommodation)</w:t>
      </w:r>
      <w:r>
        <w:rPr>
          <w:sz w:val="24"/>
        </w:rPr>
        <w:t xml:space="preserve"> - National regulatory authorities may approve tariffs on the basis of a proposal by the transmission system operator or distribution system operator(s) or LNG operator, </w:t>
      </w:r>
      <w:r>
        <w:rPr>
          <w:sz w:val="24"/>
          <w:u w:val="single"/>
        </w:rPr>
        <w:t>or on the basis of a proposal agreed between these operator(s) and the users of the network</w:t>
      </w:r>
      <w:r>
        <w:rPr>
          <w:sz w:val="24"/>
        </w:rPr>
        <w:t>.</w:t>
      </w:r>
    </w:p>
    <w:p>
      <w:pPr>
        <w:pStyle w:val="Normal"/>
        <w:rPr>
          <w:sz w:val="24"/>
        </w:rPr>
      </w:pPr>
      <w:r>
        <w:rPr>
          <w:sz w:val="24"/>
        </w:rPr>
      </w:r>
    </w:p>
    <w:p>
      <w:pPr>
        <w:pStyle w:val="Normal"/>
        <w:numPr>
          <w:ilvl w:val="0"/>
          <w:numId w:val="7"/>
        </w:numPr>
        <w:rPr>
          <w:sz w:val="24"/>
        </w:rPr>
      </w:pPr>
      <w:r>
        <w:rPr>
          <w:rFonts w:cs="Georgia" w:ascii="Georgia" w:hAnsi="Georgia"/>
          <w:b/>
          <w:sz w:val="24"/>
        </w:rPr>
        <w:t>Art 2</w:t>
      </w:r>
      <w:r>
        <w:rPr>
          <w:rFonts w:cs="Georgia" w:ascii="Georgia" w:hAnsi="Georgia"/>
          <w:sz w:val="24"/>
        </w:rPr>
        <w:t xml:space="preserve"> </w:t>
      </w:r>
      <w:r>
        <w:rPr>
          <w:rFonts w:cs="Georgia" w:ascii="Georgia" w:hAnsi="Georgia"/>
          <w:b/>
          <w:sz w:val="24"/>
        </w:rPr>
        <w:t>(Electricity &amp; Gas)</w:t>
      </w:r>
      <w:r>
        <w:rPr>
          <w:b/>
          <w:sz w:val="24"/>
        </w:rPr>
        <w:t xml:space="preserve"> </w:t>
      </w:r>
      <w:r>
        <w:rPr>
          <w:sz w:val="24"/>
        </w:rPr>
        <w:t>- ‘Wholesale customers’ are explicitly included in the definition the term ‘non-domestic customer’ (along with producers, transmission and distribution undertakings for electricity and with power generators and natural gas undertakings in gas)</w:t>
      </w:r>
    </w:p>
    <w:p>
      <w:pPr>
        <w:pStyle w:val="Normal"/>
        <w:rPr>
          <w:rFonts w:ascii="Georgia" w:hAnsi="Georgia" w:cs="Georgia"/>
          <w:b/>
          <w:sz w:val="24"/>
        </w:rPr>
      </w:pPr>
      <w:r>
        <w:rPr>
          <w:rFonts w:cs="Georgia" w:ascii="Georgia" w:hAnsi="Georgia"/>
          <w:b/>
          <w:sz w:val="24"/>
        </w:rPr>
      </w:r>
    </w:p>
    <w:p>
      <w:pPr>
        <w:pStyle w:val="Normal"/>
        <w:numPr>
          <w:ilvl w:val="0"/>
          <w:numId w:val="4"/>
        </w:numPr>
        <w:rPr>
          <w:sz w:val="24"/>
        </w:rPr>
      </w:pPr>
      <w:r>
        <w:rPr>
          <w:rFonts w:cs="Georgia" w:ascii="Georgia" w:hAnsi="Georgia"/>
          <w:b/>
          <w:sz w:val="24"/>
        </w:rPr>
        <w:t>Art 2 (Gas)</w:t>
      </w:r>
      <w:r>
        <w:rPr>
          <w:sz w:val="24"/>
        </w:rPr>
        <w:t xml:space="preserve"> – New definition introduced. ‘Ancillary services’ shall mean all services necessary for the operation of transmission and/or distribution networks and/or LNG facilities, including storage facilities and equivalent flexibility instruments, load balancing and blending.’</w:t>
      </w:r>
    </w:p>
    <w:p>
      <w:pPr>
        <w:pStyle w:val="Normal"/>
        <w:rPr>
          <w:rFonts w:ascii="Georgia" w:hAnsi="Georgia" w:cs="Georgia"/>
          <w:b/>
          <w:sz w:val="24"/>
        </w:rPr>
      </w:pPr>
      <w:r>
        <w:rPr>
          <w:rFonts w:cs="Georgia" w:ascii="Georgia" w:hAnsi="Georgia"/>
          <w:b/>
          <w:sz w:val="24"/>
        </w:rPr>
      </w:r>
    </w:p>
    <w:p>
      <w:pPr>
        <w:pStyle w:val="Normal"/>
        <w:numPr>
          <w:ilvl w:val="0"/>
          <w:numId w:val="3"/>
        </w:numPr>
        <w:rPr>
          <w:sz w:val="24"/>
        </w:rPr>
      </w:pPr>
      <w:r>
        <w:rPr>
          <w:rFonts w:cs="Georgia" w:ascii="Georgia" w:hAnsi="Georgia"/>
          <w:b/>
          <w:sz w:val="24"/>
        </w:rPr>
        <w:t>Art 3 (2) (Gas &amp; Electricity)</w:t>
      </w:r>
      <w:r>
        <w:rPr>
          <w:sz w:val="24"/>
        </w:rPr>
        <w:t xml:space="preserve"> – The possibility for Member States to introduce long-term planning for security of supply reasons (which disappeared from the previous version) has now been reinstating. However, the wording of the provision requires Member States to ‘take into account the possibility of third parties seeking access to the system.’</w:t>
      </w:r>
    </w:p>
    <w:p>
      <w:pPr>
        <w:pStyle w:val="Normal"/>
        <w:rPr>
          <w:sz w:val="24"/>
        </w:rPr>
      </w:pPr>
      <w:r>
        <w:rPr>
          <w:sz w:val="24"/>
        </w:rPr>
      </w:r>
    </w:p>
    <w:p>
      <w:pPr>
        <w:pStyle w:val="Normal"/>
        <w:numPr>
          <w:ilvl w:val="0"/>
          <w:numId w:val="3"/>
        </w:numPr>
        <w:rPr>
          <w:sz w:val="24"/>
        </w:rPr>
      </w:pPr>
      <w:r>
        <w:rPr>
          <w:rFonts w:cs="Georgia" w:ascii="Georgia" w:hAnsi="Georgia"/>
          <w:b/>
          <w:sz w:val="24"/>
        </w:rPr>
        <w:t xml:space="preserve">Art 3 (4) (Gas &amp; Electricity) </w:t>
      </w:r>
      <w:r>
        <w:rPr>
          <w:sz w:val="24"/>
        </w:rPr>
        <w:t>– Obligation for Member States to ensure high level of consumer protection, particularly with respect to transparency has been introduced.</w:t>
      </w:r>
    </w:p>
    <w:p>
      <w:pPr>
        <w:pStyle w:val="Normal"/>
        <w:rPr>
          <w:sz w:val="24"/>
        </w:rPr>
      </w:pPr>
      <w:r>
        <w:rPr>
          <w:sz w:val="24"/>
        </w:rPr>
      </w:r>
    </w:p>
    <w:p>
      <w:pPr>
        <w:pStyle w:val="Normal"/>
        <w:numPr>
          <w:ilvl w:val="0"/>
          <w:numId w:val="5"/>
        </w:numPr>
        <w:rPr>
          <w:sz w:val="24"/>
        </w:rPr>
      </w:pPr>
      <w:r>
        <w:rPr>
          <w:rFonts w:cs="Georgia" w:ascii="Georgia" w:hAnsi="Georgia"/>
          <w:b/>
          <w:sz w:val="24"/>
        </w:rPr>
        <w:t>Art 8 (Electricity)</w:t>
      </w:r>
      <w:r>
        <w:rPr>
          <w:rFonts w:cs="Georgia" w:ascii="Georgia" w:hAnsi="Georgia"/>
          <w:sz w:val="24"/>
        </w:rPr>
        <w:t xml:space="preserve"> </w:t>
      </w:r>
      <w:r>
        <w:rPr>
          <w:rFonts w:cs="Georgia" w:ascii="Georgia" w:hAnsi="Georgia"/>
          <w:b/>
          <w:sz w:val="24"/>
        </w:rPr>
        <w:t>&amp; Art 7 (Gas)</w:t>
      </w:r>
      <w:r>
        <w:rPr>
          <w:sz w:val="24"/>
        </w:rPr>
        <w:t xml:space="preserve"> - Requirements concerning </w:t>
      </w:r>
      <w:r>
        <w:rPr>
          <w:b/>
          <w:sz w:val="24"/>
          <w:u w:val="single"/>
        </w:rPr>
        <w:t>access to balancing service</w:t>
      </w:r>
      <w:r>
        <w:rPr>
          <w:sz w:val="24"/>
        </w:rPr>
        <w:t>. Rules (tariffs, terms and conditions) shall be transparent and non-discriminatory and shall be fixed or approved by the national regulatory authority prior to their entry into force.</w:t>
      </w:r>
    </w:p>
    <w:p>
      <w:pPr>
        <w:pStyle w:val="Normal"/>
        <w:rPr>
          <w:sz w:val="24"/>
        </w:rPr>
      </w:pPr>
      <w:r>
        <w:rPr>
          <w:sz w:val="24"/>
        </w:rPr>
      </w:r>
    </w:p>
    <w:p>
      <w:pPr>
        <w:pStyle w:val="Normal"/>
        <w:numPr>
          <w:ilvl w:val="0"/>
          <w:numId w:val="7"/>
        </w:numPr>
        <w:rPr>
          <w:sz w:val="24"/>
        </w:rPr>
      </w:pPr>
      <w:r>
        <w:rPr>
          <w:rFonts w:cs="Georgia" w:ascii="Georgia" w:hAnsi="Georgia"/>
          <w:b/>
          <w:sz w:val="24"/>
        </w:rPr>
        <w:t>Art 10 (Electricity &amp; Gas)</w:t>
      </w:r>
      <w:r>
        <w:rPr>
          <w:sz w:val="24"/>
        </w:rPr>
        <w:t xml:space="preserve"> - Requirement for </w:t>
      </w:r>
      <w:r>
        <w:rPr>
          <w:b/>
          <w:sz w:val="24"/>
          <w:u w:val="single"/>
        </w:rPr>
        <w:t xml:space="preserve">legal unbundling of distribution </w:t>
      </w:r>
      <w:r>
        <w:rPr>
          <w:sz w:val="24"/>
        </w:rPr>
        <w:t>system (in addition to the legal unbundling requirement for transmission included in the draft Directive). Same criteria as in the case of transmission system operator’s independence applies. This requirement will be applicable from 1 January 2003 for electricity and from 1 January 2004 for gas. Member States may decide that these rules do not apply to integrated electricity and gas undertakings serving less than 100,000 customers at that date (to relieve them of disproportionate administrative and financial burden of compliance).</w:t>
      </w:r>
    </w:p>
    <w:p>
      <w:pPr>
        <w:pStyle w:val="Normal"/>
        <w:rPr>
          <w:b/>
          <w:sz w:val="24"/>
        </w:rPr>
      </w:pPr>
      <w:r>
        <w:rPr>
          <w:b/>
          <w:sz w:val="24"/>
        </w:rPr>
      </w:r>
    </w:p>
    <w:p>
      <w:pPr>
        <w:pStyle w:val="Normal"/>
        <w:numPr>
          <w:ilvl w:val="0"/>
          <w:numId w:val="6"/>
        </w:numPr>
        <w:rPr>
          <w:b/>
          <w:sz w:val="24"/>
        </w:rPr>
      </w:pPr>
      <w:r>
        <w:rPr>
          <w:rFonts w:cs="Georgia" w:ascii="Georgia" w:hAnsi="Georgia"/>
          <w:b/>
          <w:sz w:val="24"/>
        </w:rPr>
        <w:t>Art 15 (Gas)</w:t>
      </w:r>
      <w:r>
        <w:rPr>
          <w:b/>
          <w:sz w:val="24"/>
        </w:rPr>
        <w:t xml:space="preserve"> – </w:t>
      </w:r>
      <w:r>
        <w:rPr>
          <w:b/>
          <w:sz w:val="24"/>
          <w:u w:val="single"/>
        </w:rPr>
        <w:t>Third party access to ancillary services</w:t>
      </w:r>
      <w:r>
        <w:rPr>
          <w:sz w:val="24"/>
        </w:rPr>
        <w:t xml:space="preserve"> (see above) is still on a negotiated basis but the </w:t>
      </w:r>
      <w:r>
        <w:rPr>
          <w:sz w:val="24"/>
          <w:u w:val="single"/>
        </w:rPr>
        <w:t>main commercial conditions must be published</w:t>
      </w:r>
      <w:r>
        <w:rPr>
          <w:sz w:val="24"/>
        </w:rPr>
        <w:t xml:space="preserve"> within the first year following the implementation of the Directive and on an annual basis afterwards.</w:t>
      </w:r>
    </w:p>
    <w:p>
      <w:pPr>
        <w:pStyle w:val="Normal"/>
        <w:rPr>
          <w:b/>
          <w:sz w:val="24"/>
        </w:rPr>
      </w:pPr>
      <w:r>
        <w:rPr>
          <w:b/>
          <w:sz w:val="24"/>
        </w:rPr>
      </w:r>
    </w:p>
    <w:p>
      <w:pPr>
        <w:pStyle w:val="Normal"/>
        <w:numPr>
          <w:ilvl w:val="0"/>
          <w:numId w:val="2"/>
        </w:numPr>
        <w:rPr>
          <w:b/>
          <w:sz w:val="24"/>
        </w:rPr>
      </w:pPr>
      <w:r>
        <w:rPr>
          <w:rFonts w:cs="Georgia" w:ascii="Georgia" w:hAnsi="Georgia"/>
          <w:b/>
          <w:sz w:val="24"/>
        </w:rPr>
        <w:t>Article 22 (Electricity and Gas)</w:t>
      </w:r>
      <w:r>
        <w:rPr>
          <w:b/>
          <w:sz w:val="24"/>
        </w:rPr>
        <w:t xml:space="preserve"> – </w:t>
      </w:r>
      <w:r>
        <w:rPr>
          <w:b/>
          <w:sz w:val="24"/>
          <w:u w:val="single"/>
        </w:rPr>
        <w:t>Minimum responsibilities of an independent regulatory authority</w:t>
      </w:r>
      <w:r>
        <w:rPr>
          <w:sz w:val="24"/>
        </w:rPr>
        <w:t xml:space="preserve"> are spelled out in more detail (fixing or approving terms, conditions and tariffs for connection and access to national networks, including transmission and distribution tariffs, </w:t>
      </w:r>
      <w:r>
        <w:rPr>
          <w:b/>
          <w:sz w:val="24"/>
        </w:rPr>
        <w:t>prior to their entry into force</w:t>
      </w:r>
      <w:r>
        <w:rPr>
          <w:sz w:val="24"/>
        </w:rPr>
        <w:t>, ensuring tariffs’ cost-reflectivity, setting rules on congestion management and capacity allocation at the interconnectors together with the national regulator of the neighbouring Member States). The provision regarding an obligation for Member States to create ‘appropriate and efficient mechanisms for regulation and control’ has now been reinforced: ‘</w:t>
      </w:r>
      <w:r>
        <w:rPr>
          <w:i/>
          <w:sz w:val="24"/>
        </w:rPr>
        <w:t>appropriate and efficient mechanisms for regulation, control and transparency so as to avoid any abuse of dominant position, in particular to the detriment of consumers, and any predatory behaviour</w:t>
      </w:r>
      <w:r>
        <w:rPr>
          <w:sz w:val="24"/>
        </w:rPr>
        <w:t>.’</w:t>
      </w:r>
    </w:p>
    <w:p>
      <w:pPr>
        <w:pStyle w:val="Normal"/>
        <w:rPr>
          <w:b/>
          <w:sz w:val="24"/>
        </w:rPr>
      </w:pPr>
      <w:r>
        <w:rPr>
          <w:b/>
          <w:sz w:val="24"/>
        </w:rPr>
      </w:r>
    </w:p>
    <w:p>
      <w:pPr>
        <w:pStyle w:val="Normal"/>
        <w:numPr>
          <w:ilvl w:val="0"/>
          <w:numId w:val="8"/>
        </w:numPr>
        <w:rPr>
          <w:sz w:val="24"/>
        </w:rPr>
      </w:pPr>
      <w:r>
        <w:rPr>
          <w:sz w:val="24"/>
        </w:rPr>
        <w:t>A date has been introduced for the repeal of Transit Directives -  31 December 2002 (an indication of Commission’s hope to get the Directive in force and implemented by Member States by this date).</w:t>
      </w:r>
    </w:p>
    <w:p>
      <w:pPr>
        <w:pStyle w:val="Normal"/>
        <w:rPr>
          <w:b/>
          <w:sz w:val="24"/>
        </w:rPr>
      </w:pPr>
      <w:r>
        <w:rPr>
          <w:b/>
          <w:sz w:val="24"/>
        </w:rPr>
      </w:r>
    </w:p>
    <w:p>
      <w:pPr>
        <w:pStyle w:val="Normal"/>
        <w:rPr>
          <w:b/>
          <w:sz w:val="24"/>
        </w:rPr>
      </w:pPr>
      <w:r>
        <w:rPr>
          <w:b/>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mallCap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2001-03-21T12:31:00Z</dcterms:created>
  <dc:creator>ndindaro</dc:creator>
  <dc:description/>
  <dc:language>en-CA</dc:language>
  <cp:lastModifiedBy>ndindaro</cp:lastModifiedBy>
  <cp:lastPrinted>2001-03-22T09:12:00Z</cp:lastPrinted>
  <dcterms:modified xsi:type="dcterms:W3CDTF">2001-03-22T09:43:00Z</dcterms:modified>
  <cp:revision>3</cp:revision>
  <dc:subject/>
  <dc:title>EUROPEAN COMMISSION’S PROPOSAL </dc:title>
</cp:coreProperties>
</file>