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060" w:type="dxa"/>
        <w:jc w:val="start"/>
        <w:tblInd w:w="-1692" w:type="dxa"/>
        <w:tblLayout w:type="fixed"/>
        <w:tblCellMar>
          <w:top w:w="0" w:type="dxa"/>
          <w:start w:w="108" w:type="dxa"/>
          <w:bottom w:w="0" w:type="dxa"/>
          <w:end w:w="108" w:type="dxa"/>
        </w:tblCellMar>
      </w:tblPr>
      <w:tblGrid>
        <w:gridCol w:w="720"/>
        <w:gridCol w:w="2880"/>
        <w:gridCol w:w="1377"/>
        <w:gridCol w:w="1377"/>
        <w:gridCol w:w="1506"/>
        <w:gridCol w:w="3600"/>
        <w:gridCol w:w="3600"/>
      </w:tblGrid>
      <w:tr>
        <w:trPr>
          <w:trHeight w:val="60" w:hRule="atLeast"/>
        </w:trPr>
        <w:tc>
          <w:tcPr>
            <w:tcW w:w="720" w:type="dxa"/>
            <w:tcBorders>
              <w:end w:val="single" w:sz="6" w:space="0" w:color="000000"/>
            </w:tcBorders>
          </w:tcPr>
          <w:p>
            <w:pPr>
              <w:pStyle w:val="Normal"/>
              <w:snapToGrid w:val="false"/>
              <w:ind w:firstLine="90" w:start="252" w:end="0"/>
              <w:jc w:val="center"/>
              <w:rPr>
                <w:b/>
                <w:color w:val="000000"/>
              </w:rPr>
            </w:pPr>
            <w:r>
              <w:rPr>
                <w:b/>
                <w:color w:val="000000"/>
              </w:rPr>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ind w:firstLine="90" w:start="252" w:end="0"/>
              <w:jc w:val="center"/>
              <w:rPr>
                <w:b/>
                <w:color w:val="000000"/>
              </w:rPr>
            </w:pPr>
            <w:r>
              <w:rPr>
                <w:b/>
                <w:color w:val="000000"/>
              </w:rPr>
            </w:r>
          </w:p>
          <w:p>
            <w:pPr>
              <w:pStyle w:val="Heading3"/>
              <w:ind w:hanging="0" w:start="0"/>
              <w:rPr>
                <w:sz w:val="20"/>
              </w:rPr>
            </w:pPr>
            <w:r>
              <w:rPr>
                <w:sz w:val="20"/>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sz w:val="20"/>
              </w:rPr>
            </w:pPr>
            <w:r>
              <w:rPr>
                <w:b/>
                <w:color w:val="000000"/>
                <w:sz w:val="2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sz w:val="20"/>
              </w:rPr>
            </w:pPr>
            <w:r>
              <w:rPr>
                <w:sz w:val="20"/>
              </w:rPr>
              <w:t>Developer/</w:t>
            </w:r>
          </w:p>
          <w:p>
            <w:pPr>
              <w:pStyle w:val="Normal"/>
              <w:jc w:val="center"/>
              <w:rPr>
                <w:b/>
                <w:color w:val="000000"/>
              </w:rPr>
            </w:pPr>
            <w:r>
              <w:rPr>
                <w:b/>
                <w:color w:val="000000"/>
              </w:rPr>
              <w:t>Originator</w:t>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c>
          <w:tcPr>
            <w:tcW w:w="3600" w:type="dxa"/>
            <w:tcBorders/>
            <w:tcMar>
              <w:start w:w="0" w:type="dxa"/>
              <w:end w:w="0" w:type="dxa"/>
            </w:tcMar>
          </w:tcPr>
          <w:p>
            <w:pPr>
              <w:pStyle w:val="Normal"/>
              <w:snapToGrid w:val="false"/>
              <w:rPr>
                <w:b/>
                <w:color w:val="FFFFFF"/>
              </w:rPr>
            </w:pPr>
            <w:r>
              <w:rPr>
                <w:b/>
                <w:color w:val="FFFFFF"/>
              </w:rPr>
            </w:r>
          </w:p>
        </w:tc>
      </w:tr>
      <w:tr>
        <w:trPr>
          <w:trHeight w:val="60" w:hRule="atLeast"/>
        </w:trPr>
        <w:tc>
          <w:tcPr>
            <w:tcW w:w="720" w:type="dxa"/>
            <w:tcBorders>
              <w:end w:val="single" w:sz="6" w:space="0" w:color="000000"/>
            </w:tcBorders>
          </w:tcPr>
          <w:p>
            <w:pPr>
              <w:pStyle w:val="Heading1"/>
              <w:snapToGrid w:val="false"/>
              <w:ind w:hanging="0" w:start="0"/>
              <w:rPr>
                <w:b/>
                <w:color w:val="FFFFFF"/>
              </w:rPr>
            </w:pPr>
            <w:r>
              <w:rPr>
                <w:b/>
                <w:color w:val="FFFFFF"/>
              </w:rPr>
            </w:r>
          </w:p>
        </w:tc>
        <w:tc>
          <w:tcPr>
            <w:tcW w:w="288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b w:val="false"/>
              </w:rPr>
            </w:pPr>
            <w:r>
              <w:rPr>
                <w:b w:val="false"/>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 w:val="left" w:pos="4659" w:leader="none"/>
              </w:tabs>
              <w:snapToGrid w:val="false"/>
              <w:ind w:hanging="0" w:start="0"/>
              <w:rPr/>
            </w:pPr>
            <w:r>
              <w:rPr/>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numPr>
                <w:ilvl w:val="0"/>
                <w:numId w:val="0"/>
              </w:numPr>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numPr>
                <w:ilvl w:val="0"/>
                <w:numId w:val="0"/>
              </w:numPr>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Arcor</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A. Bertone</w:t>
            </w:r>
          </w:p>
          <w:p>
            <w:pPr>
              <w:pStyle w:val="Normal"/>
              <w:numPr>
                <w:ilvl w:val="0"/>
                <w:numId w:val="0"/>
              </w:numPr>
              <w:ind w:hanging="0" w:start="0"/>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King &amp; Spalding</w:t>
            </w:r>
          </w:p>
          <w:p>
            <w:pPr>
              <w:pStyle w:val="Normal"/>
              <w:numPr>
                <w:ilvl w:val="0"/>
                <w:numId w:val="0"/>
              </w:numPr>
              <w:ind w:hanging="0" w:start="0"/>
              <w:rPr/>
            </w:pPr>
            <w:r>
              <w:rPr/>
              <w:t>Perez Alati</w:t>
            </w:r>
          </w:p>
        </w:tc>
        <w:tc>
          <w:tcPr>
            <w:tcW w:w="1506"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Jeff Kabel</w:t>
            </w:r>
          </w:p>
        </w:tc>
        <w:tc>
          <w:tcPr>
            <w:tcW w:w="360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pPr>
            <w:r>
              <w:rPr/>
              <w:t xml:space="preserve">Acquisition of combined cycle power plant in Cordoba; First draft Asset Purchase Agreement sent to Arcor on 1/28. Draft PPA between Arcor and Enron sent to Arcor on 2/17; Negotiations will start as soon as Arcor sends comments to APA. </w:t>
            </w:r>
            <w:r>
              <w:rPr>
                <w:b/>
              </w:rPr>
              <w:t>A. Bertone to visit Arcor with commercial team on the week of 2/21.</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Header"/>
              <w:numPr>
                <w:ilvl w:val="0"/>
                <w:numId w:val="0"/>
              </w:numPr>
              <w:tabs>
                <w:tab w:val="clear" w:pos="4320"/>
                <w:tab w:val="clear" w:pos="8640"/>
              </w:tabs>
              <w:snapToGrid w:val="false"/>
              <w:ind w:hanging="0" w:start="0"/>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pPr>
            <w:r>
              <w:rPr/>
              <w:t>Alcan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R Collonges</w:t>
            </w:r>
          </w:p>
          <w:p>
            <w:pPr>
              <w:pStyle w:val="Normal"/>
              <w:rPr/>
            </w:pPr>
            <w:r>
              <w:rPr/>
              <w:t>M Parodi</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Enron offering hydrological risk management services through entering into a 15 year PPA and O&amp;M Agreement. First Draft PPA presented by commercial team to Alcan. A. Bertone incorporating suggested changes to the contract. </w:t>
            </w:r>
            <w:r>
              <w:rPr>
                <w:b/>
              </w:rPr>
              <w:t>Parodi will meet Alcan again on 2/23.</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Moema</w:t>
            </w:r>
          </w:p>
        </w:tc>
        <w:tc>
          <w:tcPr>
            <w:tcW w:w="1377"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Bertone</w:t>
            </w:r>
          </w:p>
          <w:p>
            <w:pPr>
              <w:pStyle w:val="Normal"/>
              <w:rPr/>
            </w:pPr>
            <w:r>
              <w:rPr/>
              <w:t>D. Klinger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p>
            <w:pPr>
              <w:pStyle w:val="Normal"/>
              <w:rPr/>
            </w:pPr>
            <w:r>
              <w:rPr/>
            </w:r>
          </w:p>
          <w:p>
            <w:pPr>
              <w:pStyle w:val="Normal"/>
              <w:rPr/>
            </w:pPr>
            <w:r>
              <w:rPr/>
              <w:t>R. Rudzit</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R Collonges</w:t>
            </w:r>
          </w:p>
          <w:p>
            <w:pPr>
              <w:pStyle w:val="Normal"/>
              <w:rPr/>
            </w:pPr>
            <w:r>
              <w:rPr/>
              <w:t>M Parodi</w:t>
            </w:r>
          </w:p>
          <w:p>
            <w:pPr>
              <w:pStyle w:val="Normal"/>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10-year PPA to purchase 1.7 MW of firm power; PPA signed by both parties; Services Agreement w/ Elektro to upgrade transmission line approved by ANEEL; Possibility of selling the power to Elektro at a biomass price. A Bertone  reviewing draft PPA between ECE/Elektro.</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EnergyWorks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Long term PPA for purchase of power. Term Sheet signed by both parties. EnergyWorks trying to negotiate commercial terms.</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Header"/>
              <w:tabs>
                <w:tab w:val="clear" w:pos="4320"/>
                <w:tab w:val="clear" w:pos="8640"/>
              </w:tabs>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b/>
              </w:rPr>
            </w:pPr>
            <w:r>
              <w:rPr/>
              <w:t>Veracel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Financial and physical off take management for 1.5 bi Bahia Pulp Plant Project to be financed w/ cash + equity. </w:t>
            </w:r>
            <w:r>
              <w:rPr>
                <w:b/>
              </w:rPr>
              <w:t>On hold while Stora Enso negotiates acquisition of Odebrecht’s participation.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Eletrobrás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MI Granado</w:t>
            </w:r>
          </w:p>
          <w:p>
            <w:pPr>
              <w:pStyle w:val="Header"/>
              <w:tabs>
                <w:tab w:val="clear" w:pos="4320"/>
                <w:tab w:val="clear" w:pos="8640"/>
              </w:tabs>
              <w:rPr/>
            </w:pPr>
            <w:r>
              <w:rPr/>
              <w:t>C Barnes</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Monetization of a portion of the capacity payments to be made by Elektro to Eletrobrás to purchase Itaipu Power. Enron and Banks will submit terms and conditions for bid on 02/08/00. </w:t>
            </w:r>
            <w:r>
              <w:rPr>
                <w:b/>
              </w:rPr>
              <w:t>Eletrobrás will send best offer for BACEN approval.</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Header"/>
              <w:tabs>
                <w:tab w:val="clear" w:pos="4320"/>
                <w:tab w:val="clear" w:pos="8640"/>
              </w:tabs>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3 MW Transaction</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p>
            <w:pPr>
              <w:pStyle w:val="Normal"/>
              <w:rPr/>
            </w:pPr>
            <w:r>
              <w:rPr/>
            </w:r>
          </w:p>
          <w:p>
            <w:pPr>
              <w:pStyle w:val="Header"/>
              <w:tabs>
                <w:tab w:val="clear" w:pos="4320"/>
                <w:tab w:val="clear" w:pos="8640"/>
              </w:tabs>
              <w:rPr/>
            </w:pPr>
            <w:r>
              <w:rPr/>
              <w:t>R. Rudzit (Veirano)</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Commercialization of 3MW in August-November, 1999. Draft Transmission Agreement w/ CTEEP sent  for signature; CTEEP wants to negotiate indemnity clause. Meeting to be scheduled on the week of 2/21. A. Bertone circulated Distribution Agreement between ECE and Elektro for comments on 02/01/00. CUSD will have to be submitted to ANEEL. Transaction will be consummated after execution of CUST and CUSD.  </w:t>
            </w:r>
            <w:r>
              <w:rPr>
                <w:b/>
              </w:rPr>
              <w:t>CTEEP and ECE to review final language of the CUST for execution.</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Load Balancing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 sent Load Balancing and Amendment for signature on 01/26/00. Marco Antonio (Elektro) confirmed that Amendment complies with ANEEL’s requirements.</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Brazil Trading</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S Shackleton</w:t>
            </w:r>
          </w:p>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Meeting with Tozzini re. general issues re. trading in Brazil held on 11/30. Tozzini preparing chart with “do’s &amp; don’ts”. Project delayed because of new legislation being enacted in Brazil. Project to prepare form contracts for trading in Brazil to be discussed with B. Hendry and S. Shackleton.</w:t>
            </w:r>
          </w:p>
        </w:tc>
        <w:tc>
          <w:tcPr>
            <w:tcW w:w="3600" w:type="dxa"/>
            <w:tcBorders/>
            <w:tcMar>
              <w:start w:w="0" w:type="dxa"/>
              <w:end w:w="0" w:type="dxa"/>
            </w:tcMar>
          </w:tcPr>
          <w:p>
            <w:pPr>
              <w:pStyle w:val="Normal"/>
              <w:snapToGrid w:val="false"/>
              <w:rPr/>
            </w:pPr>
            <w:r>
              <w:rPr/>
            </w:r>
          </w:p>
        </w:tc>
      </w:tr>
      <w:tr>
        <w:trPr>
          <w:trHeight w:val="1695" w:hRule="atLeast"/>
        </w:trPr>
        <w:tc>
          <w:tcPr>
            <w:tcW w:w="720" w:type="dxa"/>
            <w:tcBorders>
              <w:end w:val="single" w:sz="6" w:space="0" w:color="000000"/>
            </w:tcBorders>
          </w:tcPr>
          <w:p>
            <w:pPr>
              <w:pStyle w:val="Header"/>
              <w:tabs>
                <w:tab w:val="clear" w:pos="4320"/>
                <w:tab w:val="clear" w:pos="8640"/>
              </w:tabs>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Rhodia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Pinheiro Neto</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EOS project. </w:t>
            </w:r>
            <w:r>
              <w:rPr>
                <w:b/>
              </w:rPr>
              <w:t>MI Granado preparing first draft Term Sheet. A. Bertone to review and comment on 2/21. Plan to send first draft to Rhodia before 2/28.</w:t>
            </w:r>
          </w:p>
        </w:tc>
        <w:tc>
          <w:tcPr>
            <w:tcW w:w="360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p>
            <w:pPr>
              <w:pStyle w:val="Normal"/>
              <w:rPr/>
            </w:pPr>
            <w:r>
              <w:rPr/>
            </w:r>
          </w:p>
          <w:p>
            <w:pPr>
              <w:pStyle w:val="Normal"/>
              <w:rPr/>
            </w:pPr>
            <w:r>
              <w:rPr/>
            </w:r>
          </w:p>
          <w:p>
            <w:pPr>
              <w:pStyle w:val="Normal"/>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Regulatory Matters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 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Filing for registration of ECE as member of the MAE.</w:t>
            </w:r>
          </w:p>
        </w:tc>
        <w:tc>
          <w:tcPr>
            <w:tcW w:w="3600" w:type="dxa"/>
            <w:tcBorders/>
            <w:tcMar>
              <w:start w:w="0" w:type="dxa"/>
              <w:end w:w="0" w:type="dxa"/>
            </w:tcMar>
          </w:tcPr>
          <w:p>
            <w:pPr>
              <w:pStyle w:val="Normal"/>
              <w:snapToGrid w:val="false"/>
              <w:rPr/>
            </w:pPr>
            <w:r>
              <w:rPr/>
            </w:r>
          </w:p>
        </w:tc>
      </w:tr>
      <w:tr>
        <w:trPr>
          <w:trHeight w:val="1335"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TRANSITION</w:t>
            </w:r>
          </w:p>
          <w:p>
            <w:pPr>
              <w:pStyle w:val="Normal"/>
              <w:rPr/>
            </w:pPr>
            <w:r>
              <w:rPr/>
              <w:t>Crazy Molecule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p>
            <w:pPr>
              <w:pStyle w:val="Normal"/>
              <w:rPr/>
            </w:pPr>
            <w:r>
              <w:rPr/>
              <w:t>A. Calo</w:t>
            </w:r>
          </w:p>
          <w:p>
            <w:pPr>
              <w:pStyle w:val="Normal"/>
              <w:rPr/>
            </w:pPr>
            <w:r>
              <w:rPr/>
              <w:t>J. Novak</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Gardere &amp; Wynne</w:t>
            </w:r>
          </w:p>
          <w:p>
            <w:pPr>
              <w:pStyle w:val="Normal"/>
              <w:rPr/>
            </w:pPr>
            <w:r>
              <w:rPr/>
              <w:t>Araujo e Policastro</w:t>
            </w:r>
          </w:p>
          <w:p>
            <w:pPr>
              <w:pStyle w:val="Normal"/>
              <w:rPr/>
            </w:pPr>
            <w:r>
              <w:rPr/>
              <w:t>[Servicios Legales]</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[Pete Weidler]</w:t>
            </w:r>
          </w:p>
          <w:p>
            <w:pPr>
              <w:pStyle w:val="Normal"/>
              <w:rPr/>
            </w:pPr>
            <w:r>
              <w:rPr/>
              <w:t>F. Cerisoli</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Import gas from supplier in Bolivia to sell to LDC in Brazil; Gardere and A&amp;P working on draft purchase and supply agreements; A. Bertone coordinating choice of law issues with A. Calo, B. Williams and outside counsel.</w:t>
            </w:r>
          </w:p>
        </w:tc>
        <w:tc>
          <w:tcPr>
            <w:tcW w:w="3600" w:type="dxa"/>
            <w:tcBorders/>
            <w:tcMar>
              <w:start w:w="0" w:type="dxa"/>
              <w:end w:w="0" w:type="dxa"/>
            </w:tcMar>
          </w:tcPr>
          <w:p>
            <w:pPr>
              <w:pStyle w:val="Normal"/>
              <w:snapToGrid w:val="false"/>
              <w:rPr/>
            </w:pPr>
            <w:r>
              <w:rPr/>
            </w:r>
          </w:p>
        </w:tc>
      </w:tr>
      <w:tr>
        <w:trPr>
          <w:trHeight w:val="570" w:hRule="atLeast"/>
        </w:trPr>
        <w:tc>
          <w:tcPr>
            <w:tcW w:w="720" w:type="dxa"/>
            <w:tcBorders>
              <w:end w:val="single" w:sz="6" w:space="0" w:color="000000"/>
            </w:tcBorders>
          </w:tcPr>
          <w:p>
            <w:pPr>
              <w:pStyle w:val="Normal"/>
              <w:snapToGrid w:val="false"/>
              <w:rPr/>
            </w:pPr>
            <w:r>
              <w:rPr/>
            </w:r>
          </w:p>
          <w:p>
            <w:pPr>
              <w:pStyle w:val="Normal"/>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Cianê</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Tozzini &amp;</w:t>
            </w:r>
          </w:p>
          <w:p>
            <w:pPr>
              <w:pStyle w:val="Normal"/>
              <w:rPr/>
            </w:pPr>
            <w:r>
              <w:rPr/>
              <w:t>Freire</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Carroll</w:t>
            </w:r>
          </w:p>
          <w:p>
            <w:pPr>
              <w:pStyle w:val="Normal"/>
              <w:rPr/>
            </w:pPr>
            <w:r>
              <w:rPr/>
              <w:t>R. Collonges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Enron offering hydrological risk management services through entering into a 10-year PPA and O&amp;M Agreement with a PCH located in Elektro’s territory.  Owner of PCH filed for Concordata (Chapter 11).  On Feb 1, 2000, preliminary discussions with owners of the PCH re proposed deal structure.  S Arap and Vasco reviewed the deal structure and suggested a number of changes.  D Carroll to meet with the owners of the PCH on Feb. 8, 2000.  S Arap discussed details of the deal with José Emílio (Tozzini) and will provide our business people with a legal opinion re potential fraud of Cianê’s creditors.  </w:t>
            </w:r>
            <w:r>
              <w:rPr>
                <w:b/>
              </w:rPr>
              <w:t>On Feb. 18, 2000, S Arap met with Cianê’s owner and its bankruptcy lawyer to explain the only alternative to move this deal forward.  Cianê to consider alternative and return to ECE by Feb. 25, 2000.</w:t>
            </w:r>
          </w:p>
        </w:tc>
        <w:tc>
          <w:tcPr>
            <w:tcW w:w="3600" w:type="dxa"/>
            <w:tcBorders/>
            <w:tcMar>
              <w:start w:w="0" w:type="dxa"/>
              <w:end w:w="0" w:type="dxa"/>
            </w:tcMar>
          </w:tcPr>
          <w:p>
            <w:pPr>
              <w:pStyle w:val="Normal"/>
              <w:snapToGrid w:val="false"/>
              <w:rPr/>
            </w:pPr>
            <w:r>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Pilon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L. Henrique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10-year PPA for the purchase of firm energy (including additional exceeding energy) from a sugar mill in Elektro’s territory, as well as investments in connection assets for the power to flow.  On Feb. 11, 2000, S Arap prepared a first draft PPA for internal comments.  </w:t>
            </w:r>
            <w:r>
              <w:rPr>
                <w:b/>
              </w:rPr>
              <w:t>On Feb. 18, 2000, final draft PPA delivered to C Brun.  Meeting with Pilon is scheduled for Feb 21, 2000.</w:t>
            </w:r>
          </w:p>
        </w:tc>
        <w:tc>
          <w:tcPr>
            <w:tcW w:w="3600" w:type="dxa"/>
            <w:tcBorders/>
            <w:tcMar>
              <w:start w:w="0" w:type="dxa"/>
              <w:end w:w="0" w:type="dxa"/>
            </w:tcMar>
          </w:tcPr>
          <w:p>
            <w:pPr>
              <w:pStyle w:val="Normal"/>
              <w:snapToGrid w:val="false"/>
              <w:rPr/>
            </w:pPr>
            <w:r>
              <w:rPr/>
            </w:r>
          </w:p>
        </w:tc>
      </w:tr>
    </w:tbl>
    <w:p>
      <w:pPr>
        <w:pStyle w:val="Normal"/>
        <w:rPr/>
      </w:pPr>
      <w:r>
        <w:rPr/>
      </w:r>
    </w:p>
    <w:tbl>
      <w:tblPr>
        <w:tblW w:w="15090" w:type="dxa"/>
        <w:jc w:val="start"/>
        <w:tblInd w:w="-1692" w:type="dxa"/>
        <w:tblLayout w:type="fixed"/>
        <w:tblCellMar>
          <w:top w:w="0" w:type="dxa"/>
          <w:start w:w="108" w:type="dxa"/>
          <w:bottom w:w="0" w:type="dxa"/>
          <w:end w:w="108" w:type="dxa"/>
        </w:tblCellMar>
      </w:tblPr>
      <w:tblGrid>
        <w:gridCol w:w="720"/>
        <w:gridCol w:w="2880"/>
        <w:gridCol w:w="1377"/>
        <w:gridCol w:w="1377"/>
        <w:gridCol w:w="1476"/>
        <w:gridCol w:w="30"/>
        <w:gridCol w:w="3600"/>
        <w:gridCol w:w="3630"/>
      </w:tblGrid>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Santa Laura</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I. Metzger</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Sami is preparing a CA to be executed with Engevix to obtain engineering info about the PCH.  </w:t>
            </w:r>
            <w:r>
              <w:rPr>
                <w:b/>
              </w:rPr>
              <w:t>On Feb. 11, 2000 Sami prepared and delivered the CA to Enron’s business people.</w:t>
            </w:r>
          </w:p>
          <w:p>
            <w:pPr>
              <w:pStyle w:val="Header"/>
              <w:tabs>
                <w:tab w:val="clear" w:pos="4320"/>
                <w:tab w:val="clear" w:pos="8640"/>
              </w:tabs>
              <w:rPr>
                <w:b/>
              </w:rPr>
            </w:pPr>
            <w:r>
              <w:rPr>
                <w:b/>
              </w:rPr>
            </w:r>
          </w:p>
          <w:p>
            <w:pPr>
              <w:pStyle w:val="Header"/>
              <w:tabs>
                <w:tab w:val="clear" w:pos="4320"/>
                <w:tab w:val="clear" w:pos="8640"/>
              </w:tabs>
              <w:rPr>
                <w:b/>
              </w:rPr>
            </w:pPr>
            <w:r>
              <w:rPr>
                <w:b/>
              </w:rPr>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Bom Retiro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I. Metzger</w:t>
            </w:r>
          </w:p>
          <w:p>
            <w:pPr>
              <w:pStyle w:val="Normal"/>
              <w:rPr/>
            </w:pPr>
            <w:r>
              <w:rPr/>
              <w:t>MI Granado</w:t>
            </w:r>
          </w:p>
          <w:p>
            <w:pPr>
              <w:pStyle w:val="Normal"/>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Sami is preparing a CA and a LOI to be executed with the owner of the PCH.  </w:t>
            </w:r>
            <w:r>
              <w:rPr>
                <w:b/>
              </w:rPr>
              <w:t>Sami is finalizing the draft LOI for internal comments.</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VCP</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M. Parodi</w:t>
            </w:r>
          </w:p>
          <w:p>
            <w:pPr>
              <w:pStyle w:val="Normal"/>
              <w:rPr/>
            </w:pPr>
            <w:r>
              <w:rPr/>
              <w:t>R. Lisboa</w:t>
            </w:r>
          </w:p>
          <w:p>
            <w:pPr>
              <w:pStyle w:val="Normal"/>
              <w:rPr/>
            </w:pPr>
            <w:r>
              <w:rPr/>
              <w:t>R. Collonges</w:t>
            </w:r>
          </w:p>
          <w:p>
            <w:pPr>
              <w:pStyle w:val="Normal"/>
              <w:rPr/>
            </w:pPr>
            <w:r>
              <w:rPr/>
              <w:t>MI Granado</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 xml:space="preserve">Purchase VCP’s energy assets and to develop a gas-fired power plant. (1) Under the 10-year asset monetization transaction, Enron plans to acquire, operate and maintain VCP’s energy assets.  The steam and electricity produced from the assets will be sold to VCP.  Payments will be made through monthly deliveries of fixed quantities of pulp.  Fixed quantities to be calculated on a long-term fixed pulp price.  (2) Enron also plans to build,own and operate a gas-fired power plant to be located inside VCP’s facilities.  Parties to execute a PPA and SSA. Presentation to VCP on Nov. 29, 1999.  LOI &amp; Term sheet delivered to VCP on Feb. 11, 2000.  </w:t>
            </w:r>
            <w:r>
              <w:rPr>
                <w:b/>
              </w:rPr>
              <w:t>Waiting for VCP’s approval to execute the LOI &amp; Term Sheet</w:t>
            </w:r>
            <w:r>
              <w:rPr/>
              <w:t>.</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ANP Round-2</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R. Waddell</w:t>
            </w:r>
          </w:p>
          <w:p>
            <w:pPr>
              <w:pStyle w:val="Normal"/>
              <w:rPr/>
            </w:pPr>
            <w:r>
              <w:rPr/>
              <w:t>G. Fox (EGEP)</w:t>
            </w:r>
          </w:p>
          <w:p>
            <w:pPr>
              <w:pStyle w:val="Normal"/>
              <w:rPr/>
            </w:pPr>
            <w:r>
              <w:rPr/>
              <w:t>S. Lima</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On Feb. 7, 2000, POA, CA and Letter of Presentation prepared and executed by R. Waddell.  On Feb. 9, 2000, S. Lima purchased ANP’s data package.  Docs sent to G Fox. </w:t>
            </w:r>
            <w:r>
              <w:rPr>
                <w:b/>
              </w:rPr>
              <w:t>[NO CHANGE]</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Puerto Suarez and RioGen</w:t>
            </w:r>
          </w:p>
          <w:p>
            <w:pPr>
              <w:pStyle w:val="Normal"/>
              <w:rPr>
                <w:b/>
              </w:rPr>
            </w:pPr>
            <w:r>
              <w:rPr>
                <w:b/>
              </w:rPr>
              <w:t>(Transition Matter)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 Novak</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Skadden</w:t>
            </w:r>
          </w:p>
          <w:p>
            <w:pPr>
              <w:pStyle w:val="Normal"/>
              <w:rPr/>
            </w:pPr>
            <w:r>
              <w:rPr/>
              <w:t>MMSO</w:t>
            </w:r>
          </w:p>
          <w:p>
            <w:pPr>
              <w:pStyle w:val="Normal"/>
              <w:rPr/>
            </w:pPr>
            <w:r>
              <w:rPr/>
              <w:t>Guevara</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B. Wiggs</w:t>
            </w:r>
          </w:p>
          <w:p>
            <w:pPr>
              <w:pStyle w:val="Normal"/>
              <w:rPr/>
            </w:pPr>
            <w:r>
              <w:rPr/>
              <w:t>M. Parks</w:t>
            </w:r>
          </w:p>
          <w:p>
            <w:pPr>
              <w:pStyle w:val="Normal"/>
              <w:rPr/>
            </w:pPr>
            <w:r>
              <w:rPr/>
              <w:t>R. Lammers</w:t>
            </w:r>
          </w:p>
          <w:p>
            <w:pPr>
              <w:pStyle w:val="Normal"/>
              <w:rPr/>
            </w:pPr>
            <w:r>
              <w:rPr/>
              <w:t>G. Palhoto</w:t>
            </w:r>
          </w:p>
          <w:p>
            <w:pPr>
              <w:pStyle w:val="Normal"/>
              <w:rPr/>
            </w:pPr>
            <w:r>
              <w:rPr/>
              <w:t>R. Cunha</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PS:  Assisting purchase of the and and finalizing the formation &amp; registration of the Bolivian companies (Asset Co and Gas Marketer).</w:t>
            </w:r>
          </w:p>
          <w:p>
            <w:pPr>
              <w:pStyle w:val="Normal"/>
              <w:rPr>
                <w:b/>
              </w:rPr>
            </w:pPr>
            <w:r>
              <w:rPr>
                <w:b/>
              </w:rPr>
              <w:t>RioGen:  Assisting purchase of the land and approval of the draft law for the creation Industrial District.</w:t>
            </w:r>
          </w:p>
        </w:tc>
        <w:tc>
          <w:tcPr>
            <w:tcW w:w="363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Camisea</w:t>
            </w:r>
          </w:p>
          <w:p>
            <w:pPr>
              <w:pStyle w:val="Normal"/>
              <w:rPr>
                <w:b/>
              </w:rPr>
            </w:pPr>
            <w:r>
              <w:rPr>
                <w:b/>
              </w:rPr>
              <w:t>(Transition Matter)</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L. Watanabe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Rosseló</w:t>
            </w:r>
          </w:p>
          <w:p>
            <w:pPr>
              <w:pStyle w:val="Normal"/>
              <w:rPr/>
            </w:pPr>
            <w:r>
              <w:rPr/>
              <w:t>Clifford Chance</w:t>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P. Weidler</w:t>
            </w:r>
          </w:p>
          <w:p>
            <w:pPr>
              <w:pStyle w:val="Normal"/>
              <w:rPr/>
            </w:pPr>
            <w:r>
              <w:rPr/>
              <w:t>R. Pensotti</w:t>
            </w:r>
          </w:p>
          <w:p>
            <w:pPr>
              <w:pStyle w:val="Normal"/>
              <w:rPr/>
            </w:pPr>
            <w:r>
              <w:rPr/>
              <w:t>R. Hesje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Transferred to Luiz Watanabe.</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end w:val="single" w:sz="6" w:space="0" w:color="000000"/>
            </w:tcBorders>
          </w:tcPr>
          <w:p>
            <w:pPr>
              <w:pStyle w:val="Normal"/>
              <w:rPr/>
            </w:pPr>
            <w:r>
              <w:rPr/>
              <w:t>Itá</w:t>
            </w:r>
          </w:p>
          <w:p>
            <w:pPr>
              <w:pStyle w:val="Normal"/>
              <w:rPr>
                <w:b/>
              </w:rPr>
            </w:pPr>
            <w:r>
              <w:rPr>
                <w:b/>
              </w:rPr>
              <w:t>(Transition Matter)</w:t>
            </w:r>
          </w:p>
        </w:tc>
        <w:tc>
          <w:tcPr>
            <w:tcW w:w="1377" w:type="dxa"/>
            <w:tcBorders>
              <w:top w:val="single" w:sz="6" w:space="0" w:color="000000"/>
              <w:start w:val="single" w:sz="6" w:space="0" w:color="000000"/>
              <w:end w:val="single" w:sz="6" w:space="0" w:color="000000"/>
            </w:tcBorders>
          </w:tcPr>
          <w:p>
            <w:pPr>
              <w:pStyle w:val="Normal"/>
              <w:rPr/>
            </w:pPr>
            <w:r>
              <w:rPr/>
              <w:t xml:space="preserve">J. Novak </w:t>
            </w:r>
          </w:p>
          <w:p>
            <w:pPr>
              <w:pStyle w:val="Normal"/>
              <w:rPr/>
            </w:pPr>
            <w:r>
              <w:rPr/>
              <w:t>P. Porto</w:t>
            </w:r>
          </w:p>
        </w:tc>
        <w:tc>
          <w:tcPr>
            <w:tcW w:w="1377" w:type="dxa"/>
            <w:tcBorders>
              <w:top w:val="single" w:sz="6" w:space="0" w:color="000000"/>
              <w:start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end w:val="single" w:sz="6" w:space="0" w:color="000000"/>
            </w:tcBorders>
          </w:tcPr>
          <w:p>
            <w:pPr>
              <w:pStyle w:val="Normal"/>
              <w:rPr/>
            </w:pPr>
            <w:r>
              <w:rPr/>
              <w:t>B. Wiggs</w:t>
            </w:r>
          </w:p>
          <w:p>
            <w:pPr>
              <w:pStyle w:val="Normal"/>
              <w:rPr/>
            </w:pPr>
            <w:r>
              <w:rPr/>
              <w:t>R. Collonges</w:t>
            </w:r>
          </w:p>
          <w:p>
            <w:pPr>
              <w:pStyle w:val="Normal"/>
              <w:rPr/>
            </w:pPr>
            <w:r>
              <w:rPr/>
              <w:t>MI Granado</w:t>
            </w:r>
          </w:p>
        </w:tc>
        <w:tc>
          <w:tcPr>
            <w:tcW w:w="3600" w:type="dxa"/>
            <w:tcBorders>
              <w:top w:val="single" w:sz="6" w:space="0" w:color="000000"/>
              <w:start w:val="single" w:sz="6" w:space="0" w:color="000000"/>
              <w:end w:val="single" w:sz="6" w:space="0" w:color="000000"/>
            </w:tcBorders>
          </w:tcPr>
          <w:p>
            <w:pPr>
              <w:pStyle w:val="Header"/>
              <w:tabs>
                <w:tab w:val="clear" w:pos="4320"/>
                <w:tab w:val="clear" w:pos="8640"/>
              </w:tabs>
              <w:rPr>
                <w:b/>
              </w:rPr>
            </w:pPr>
            <w:r>
              <w:rPr>
                <w:b/>
              </w:rPr>
              <w:t>Assisting Originators to understand in detail all project agreements, especially the UHE Itá Concession Agreement, the Itá Consortium Agreement and the ITASA Shareholders Agreements</w:t>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pPr>
            <w:r>
              <w:rPr/>
              <w:t>Dedini</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S. Arap</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rPr/>
            </w:pPr>
            <w:r>
              <w:rPr/>
              <w:t>C. Brun</w:t>
            </w:r>
          </w:p>
          <w:p>
            <w:pPr>
              <w:pStyle w:val="Normal"/>
              <w:rPr/>
            </w:pPr>
            <w:r>
              <w:rPr/>
              <w:t>C. Marques</w:t>
            </w:r>
          </w:p>
          <w:p>
            <w:pPr>
              <w:pStyle w:val="Normal"/>
              <w:rPr/>
            </w:pPr>
            <w:r>
              <w:rPr/>
              <w:t>L. Henrique</w:t>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10-year PPA for the purchase of firm energy (including additional exceeding energy) from a sugar mill in Elektro’s territory, as well as investments in connection assets for the power to flow.  </w:t>
            </w:r>
            <w:r>
              <w:rPr>
                <w:b/>
              </w:rPr>
              <w:t>S Arap preparing a first draft PPA for internal comments.</w:t>
            </w:r>
          </w:p>
        </w:tc>
        <w:tc>
          <w:tcPr>
            <w:tcW w:w="3630" w:type="dxa"/>
            <w:tcBorders/>
            <w:tcMar>
              <w:start w:w="0" w:type="dxa"/>
              <w:end w:w="0" w:type="dxa"/>
            </w:tcMar>
          </w:tcPr>
          <w:p>
            <w:pPr>
              <w:pStyle w:val="Normal"/>
              <w:snapToGrid w:val="false"/>
              <w:rPr/>
            </w:pPr>
            <w:r>
              <w:rPr/>
            </w:r>
          </w:p>
        </w:tc>
      </w:tr>
      <w:tr>
        <w:trPr>
          <w:trHeight w:val="60" w:hRule="atLeast"/>
        </w:trPr>
        <w:tc>
          <w:tcPr>
            <w:tcW w:w="720" w:type="dxa"/>
            <w:tcBorders>
              <w:top w:val="single" w:sz="4" w:space="0" w:color="000000"/>
              <w:start w:val="single" w:sz="4" w:space="0" w:color="000000"/>
              <w:end w:val="single" w:sz="6" w:space="0" w:color="000000"/>
            </w:tcBorders>
          </w:tcPr>
          <w:p>
            <w:pPr>
              <w:pStyle w:val="Normal"/>
              <w:snapToGrid w:val="false"/>
              <w:rPr/>
            </w:pPr>
            <w:r>
              <w:rPr/>
            </w:r>
          </w:p>
        </w:tc>
        <w:tc>
          <w:tcPr>
            <w:tcW w:w="2880" w:type="dxa"/>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4"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4"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top w:val="single" w:sz="6" w:space="0" w:color="000000"/>
              <w:start w:val="single" w:sz="4" w:space="0" w:color="000000"/>
              <w:bottom w:val="single" w:sz="6"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pPr>
            <w:r>
              <w:rPr/>
            </w:r>
          </w:p>
        </w:tc>
        <w:tc>
          <w:tcPr>
            <w:tcW w:w="7260" w:type="dxa"/>
            <w:gridSpan w:val="3"/>
            <w:tcBorders/>
            <w:tcMar>
              <w:start w:w="0" w:type="dxa"/>
              <w:end w:w="0" w:type="dxa"/>
            </w:tcMar>
          </w:tcPr>
          <w:p>
            <w:pPr>
              <w:pStyle w:val="Normal"/>
              <w:snapToGrid w:val="false"/>
              <w:rPr>
                <w:b/>
              </w:rPr>
            </w:pPr>
            <w:r>
              <w:rPr>
                <w:b/>
              </w:rPr>
            </w:r>
          </w:p>
        </w:tc>
      </w:tr>
      <w:tr>
        <w:trPr>
          <w:trHeight w:val="60" w:hRule="atLeast"/>
        </w:trPr>
        <w:tc>
          <w:tcPr>
            <w:tcW w:w="720" w:type="dxa"/>
            <w:tcBorders>
              <w:end w:val="single" w:sz="6" w:space="0" w:color="000000"/>
            </w:tcBorders>
          </w:tcPr>
          <w:p>
            <w:pPr>
              <w:pStyle w:val="Normal"/>
              <w:snapToGrid w:val="false"/>
              <w:rPr>
                <w:b/>
              </w:rPr>
            </w:pPr>
            <w:r>
              <w:rPr>
                <w:b/>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3630" w:type="dxa"/>
            <w:tcBorders/>
            <w:tcMar>
              <w:start w:w="0" w:type="dxa"/>
              <w:end w:w="0" w:type="dxa"/>
            </w:tcMar>
          </w:tcPr>
          <w:p>
            <w:pPr>
              <w:pStyle w:val="Normal"/>
              <w:snapToGrid w:val="false"/>
              <w:rPr/>
            </w:pPr>
            <w:r>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630" w:type="dxa"/>
            <w:gridSpan w:val="2"/>
            <w:tcBorders>
              <w:top w:val="single" w:sz="6" w:space="0" w:color="000000"/>
              <w:start w:val="single" w:sz="6" w:space="0" w:color="000000"/>
              <w:bottom w:val="single" w:sz="6"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r>
        <w:trPr>
          <w:trHeight w:val="60" w:hRule="atLeast"/>
        </w:trPr>
        <w:tc>
          <w:tcPr>
            <w:tcW w:w="720" w:type="dxa"/>
            <w:tcBorders>
              <w:start w:val="single" w:sz="4" w:space="0" w:color="000000"/>
              <w:bottom w:val="single" w:sz="4" w:space="0" w:color="000000"/>
              <w:end w:val="single" w:sz="6" w:space="0" w:color="000000"/>
            </w:tcBorders>
          </w:tcPr>
          <w:p>
            <w:pPr>
              <w:pStyle w:val="Normal"/>
              <w:snapToGrid w:val="false"/>
              <w:rPr/>
            </w:pPr>
            <w:r>
              <w:rPr/>
            </w:r>
          </w:p>
        </w:tc>
        <w:tc>
          <w:tcPr>
            <w:tcW w:w="288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1476"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c>
          <w:tcPr>
            <w:tcW w:w="3630" w:type="dxa"/>
            <w:gridSpan w:val="2"/>
            <w:tcBorders>
              <w:top w:val="single" w:sz="6" w:space="0" w:color="000000"/>
              <w:start w:val="single" w:sz="6" w:space="0" w:color="000000"/>
              <w:bottom w:val="single" w:sz="4" w:space="0" w:color="000000"/>
              <w:end w:val="single" w:sz="4" w:space="0" w:color="000000"/>
            </w:tcBorders>
          </w:tcPr>
          <w:p>
            <w:pPr>
              <w:pStyle w:val="Header"/>
              <w:tabs>
                <w:tab w:val="clear" w:pos="4320"/>
                <w:tab w:val="clear" w:pos="8640"/>
              </w:tabs>
              <w:snapToGrid w:val="false"/>
              <w:rPr>
                <w:b/>
              </w:rPr>
            </w:pPr>
            <w:r>
              <w:rPr>
                <w:b/>
              </w:rPr>
            </w:r>
          </w:p>
        </w:tc>
        <w:tc>
          <w:tcPr>
            <w:tcW w:w="3630" w:type="dxa"/>
            <w:tcBorders/>
            <w:tcMar>
              <w:start w:w="0" w:type="dxa"/>
              <w:end w:w="0" w:type="dxa"/>
            </w:tcMar>
          </w:tcPr>
          <w:p>
            <w:pPr>
              <w:pStyle w:val="Normal"/>
              <w:snapToGrid w:val="false"/>
              <w:rPr>
                <w:b/>
              </w:rPr>
            </w:pPr>
            <w:r>
              <w:rPr>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outlineLvl w:val="2"/>
    </w:pPr>
    <w:rPr>
      <w:b/>
      <w:sz w:val="16"/>
    </w:rPr>
  </w:style>
  <w:style w:type="paragraph" w:styleId="Heading4">
    <w:name w:val="heading 4"/>
    <w:basedOn w:val="Normal"/>
    <w:next w:val="Normal"/>
    <w:qFormat/>
    <w:pPr>
      <w:keepNext w:val="true"/>
      <w:numPr>
        <w:ilvl w:val="3"/>
        <w:numId w:val="1"/>
      </w:numPr>
      <w:outlineLvl w:val="3"/>
    </w:pPr>
    <w:rPr>
      <w:b/>
      <w:color w:val="00000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2000-02-17T16:08:00Z</dcterms:created>
  <dc:creator>ENRON</dc:creator>
  <dc:description/>
  <dc:language>en-CA</dc:language>
  <cp:lastModifiedBy>Enron</cp:lastModifiedBy>
  <cp:lastPrinted>1999-11-30T10:05:00Z</cp:lastPrinted>
  <dcterms:modified xsi:type="dcterms:W3CDTF">2000-02-21T15:39:00Z</dcterms:modified>
  <cp:revision>7</cp:revision>
  <dc:subject/>
  <dc:title>TRADING / ARGENTINA</dc:title>
</cp:coreProperties>
</file>