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5090" w:type="dxa"/>
        <w:jc w:val="start"/>
        <w:tblInd w:w="-1692" w:type="dxa"/>
        <w:tblLayout w:type="fixed"/>
        <w:tblCellMar>
          <w:top w:w="0" w:type="dxa"/>
          <w:start w:w="108" w:type="dxa"/>
          <w:bottom w:w="0" w:type="dxa"/>
          <w:end w:w="108" w:type="dxa"/>
        </w:tblCellMar>
      </w:tblPr>
      <w:tblGrid>
        <w:gridCol w:w="720"/>
        <w:gridCol w:w="2880"/>
        <w:gridCol w:w="1377"/>
        <w:gridCol w:w="1377"/>
        <w:gridCol w:w="1476"/>
        <w:gridCol w:w="30"/>
        <w:gridCol w:w="3600"/>
        <w:gridCol w:w="3600"/>
        <w:gridCol w:w="30"/>
      </w:tblGrid>
      <w:tr>
        <w:trPr>
          <w:trHeight w:val="60" w:hRule="atLeast"/>
        </w:trPr>
        <w:tc>
          <w:tcPr>
            <w:tcW w:w="720" w:type="dxa"/>
            <w:tcBorders>
              <w:end w:val="single" w:sz="6" w:space="0" w:color="000000"/>
            </w:tcBorders>
          </w:tcPr>
          <w:p>
            <w:pPr>
              <w:pStyle w:val="Normal"/>
              <w:snapToGrid w:val="false"/>
              <w:ind w:firstLine="90" w:start="252" w:end="0"/>
              <w:jc w:val="center"/>
              <w:rPr>
                <w:b/>
                <w:color w:val="000000"/>
              </w:rPr>
            </w:pPr>
            <w:r>
              <w:rPr>
                <w:b/>
                <w:color w:val="000000"/>
              </w:rPr>
            </w:r>
          </w:p>
        </w:tc>
        <w:tc>
          <w:tcPr>
            <w:tcW w:w="2880" w:type="dxa"/>
            <w:tcBorders>
              <w:top w:val="single" w:sz="6" w:space="0" w:color="000000"/>
              <w:start w:val="single" w:sz="6" w:space="0" w:color="000000"/>
              <w:bottom w:val="single" w:sz="6" w:space="0" w:color="000000"/>
              <w:end w:val="single" w:sz="6" w:space="0" w:color="000000"/>
            </w:tcBorders>
            <w:shd w:fill="CCCCCC" w:val="clear"/>
          </w:tcPr>
          <w:p>
            <w:pPr>
              <w:pStyle w:val="Heading2"/>
              <w:snapToGrid w:val="false"/>
              <w:rPr>
                <w:b/>
                <w:color w:val="000000"/>
              </w:rPr>
            </w:pPr>
            <w:r>
              <w:rPr>
                <w:b/>
                <w:color w:val="000000"/>
              </w:rPr>
            </w:r>
          </w:p>
          <w:p>
            <w:pPr>
              <w:pStyle w:val="Heading2"/>
              <w:jc w:val="both"/>
              <w:rPr/>
            </w:pPr>
            <w:r>
              <w:rPr/>
              <w:t>Project Name</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color w:val="000000"/>
              </w:rPr>
            </w:pPr>
            <w:r>
              <w:rPr>
                <w:b/>
                <w:color w:val="000000"/>
              </w:rPr>
              <w:t>Enron</w:t>
            </w:r>
          </w:p>
          <w:p>
            <w:pPr>
              <w:pStyle w:val="Normal"/>
              <w:jc w:val="center"/>
              <w:rPr>
                <w:b/>
                <w:color w:val="000000"/>
              </w:rPr>
            </w:pPr>
            <w:r>
              <w:rPr>
                <w:b/>
                <w:color w:val="000000"/>
              </w:rPr>
              <w:t>Attorney</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color w:val="000000"/>
              </w:rPr>
            </w:pPr>
            <w:r>
              <w:rPr>
                <w:b/>
                <w:color w:val="000000"/>
              </w:rPr>
              <w:t>Outside</w:t>
            </w:r>
          </w:p>
          <w:p>
            <w:pPr>
              <w:pStyle w:val="Normal"/>
              <w:jc w:val="center"/>
              <w:rPr>
                <w:b/>
                <w:color w:val="000000"/>
              </w:rPr>
            </w:pPr>
            <w:r>
              <w:rPr>
                <w:b/>
                <w:color w:val="000000"/>
              </w:rPr>
              <w:t>Attorney</w:t>
            </w:r>
          </w:p>
        </w:tc>
        <w:tc>
          <w:tcPr>
            <w:tcW w:w="1506" w:type="dxa"/>
            <w:gridSpan w:val="2"/>
            <w:tcBorders>
              <w:top w:val="single" w:sz="6" w:space="0" w:color="000000"/>
              <w:start w:val="single" w:sz="6" w:space="0" w:color="000000"/>
              <w:bottom w:val="single" w:sz="6" w:space="0" w:color="000000"/>
              <w:end w:val="single" w:sz="6" w:space="0" w:color="000000"/>
            </w:tcBorders>
            <w:shd w:fill="CCCCCC" w:val="clear"/>
          </w:tcPr>
          <w:p>
            <w:pPr>
              <w:pStyle w:val="Heading3"/>
              <w:ind w:hanging="0" w:start="0"/>
              <w:rPr>
                <w:sz w:val="20"/>
              </w:rPr>
            </w:pPr>
            <w:r>
              <w:rPr>
                <w:sz w:val="20"/>
              </w:rPr>
              <w:t>Developer/</w:t>
            </w:r>
          </w:p>
          <w:p>
            <w:pPr>
              <w:pStyle w:val="Normal"/>
              <w:jc w:val="center"/>
              <w:rPr>
                <w:b/>
                <w:color w:val="000000"/>
              </w:rPr>
            </w:pPr>
            <w:r>
              <w:rPr>
                <w:b/>
                <w:color w:val="000000"/>
              </w:rPr>
              <w:t>Originator</w:t>
            </w:r>
          </w:p>
        </w:tc>
        <w:tc>
          <w:tcPr>
            <w:tcW w:w="3600"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b/>
                <w:color w:val="000000"/>
              </w:rPr>
            </w:pPr>
            <w:r>
              <w:rPr>
                <w:b/>
                <w:color w:val="000000"/>
              </w:rPr>
            </w:r>
          </w:p>
          <w:p>
            <w:pPr>
              <w:pStyle w:val="Heading1"/>
              <w:ind w:hanging="0" w:start="0"/>
              <w:jc w:val="center"/>
              <w:rPr>
                <w:color w:val="000000"/>
              </w:rPr>
            </w:pPr>
            <w:r>
              <w:rPr>
                <w:color w:val="000000"/>
              </w:rPr>
              <w:t>Project Status</w:t>
            </w:r>
          </w:p>
        </w:tc>
        <w:tc>
          <w:tcPr>
            <w:tcW w:w="3630" w:type="dxa"/>
            <w:gridSpan w:val="2"/>
            <w:tcBorders/>
            <w:tcMar>
              <w:start w:w="0" w:type="dxa"/>
              <w:end w:w="0" w:type="dxa"/>
            </w:tcMar>
          </w:tcPr>
          <w:p>
            <w:pPr>
              <w:pStyle w:val="Normal"/>
              <w:snapToGrid w:val="false"/>
              <w:rPr>
                <w:b/>
                <w:color w:val="FFFFFF"/>
              </w:rPr>
            </w:pPr>
            <w:r>
              <w:rPr>
                <w:b/>
                <w:color w:val="FFFFFF"/>
              </w:rPr>
            </w:r>
          </w:p>
        </w:tc>
      </w:tr>
      <w:tr>
        <w:trPr>
          <w:trHeight w:val="60" w:hRule="atLeast"/>
        </w:trPr>
        <w:tc>
          <w:tcPr>
            <w:tcW w:w="720" w:type="dxa"/>
            <w:tcBorders>
              <w:end w:val="single" w:sz="6" w:space="0" w:color="000000"/>
            </w:tcBorders>
          </w:tcPr>
          <w:p>
            <w:pPr>
              <w:pStyle w:val="Heading1"/>
              <w:snapToGrid w:val="false"/>
              <w:ind w:hanging="0" w:start="0"/>
              <w:rPr>
                <w:b/>
                <w:color w:val="FFFFFF"/>
              </w:rPr>
            </w:pPr>
            <w:r>
              <w:rPr>
                <w:b/>
                <w:color w:val="FFFFFF"/>
              </w:rPr>
            </w:r>
          </w:p>
        </w:tc>
        <w:tc>
          <w:tcPr>
            <w:tcW w:w="2880"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b w:val="false"/>
              </w:rPr>
            </w:pPr>
            <w:r>
              <w:rPr>
                <w:b w:val="false"/>
              </w:rPr>
            </w:r>
          </w:p>
        </w:tc>
        <w:tc>
          <w:tcPr>
            <w:tcW w:w="1377" w:type="dxa"/>
            <w:tcBorders>
              <w:top w:val="single" w:sz="6" w:space="0" w:color="000000"/>
              <w:start w:val="single" w:sz="6" w:space="0" w:color="000000"/>
              <w:bottom w:val="single" w:sz="6" w:space="0" w:color="000000"/>
              <w:end w:val="single" w:sz="6" w:space="0" w:color="000000"/>
            </w:tcBorders>
          </w:tcPr>
          <w:p>
            <w:pPr>
              <w:pStyle w:val="Normal"/>
              <w:numPr>
                <w:ilvl w:val="0"/>
                <w:numId w:val="0"/>
              </w:numPr>
              <w:snapToGrid w:val="false"/>
              <w:ind w:hanging="0" w:start="0"/>
              <w:rPr>
                <w:b w:val="false"/>
              </w:rPr>
            </w:pPr>
            <w:r>
              <w:rPr>
                <w:b w:val="false"/>
              </w:rPr>
            </w:r>
          </w:p>
        </w:tc>
        <w:tc>
          <w:tcPr>
            <w:tcW w:w="1377" w:type="dxa"/>
            <w:tcBorders>
              <w:top w:val="single" w:sz="6" w:space="0" w:color="000000"/>
              <w:start w:val="single" w:sz="6" w:space="0" w:color="000000"/>
              <w:bottom w:val="single" w:sz="6" w:space="0" w:color="000000"/>
              <w:end w:val="single" w:sz="6" w:space="0" w:color="000000"/>
            </w:tcBorders>
          </w:tcPr>
          <w:p>
            <w:pPr>
              <w:pStyle w:val="Normal"/>
              <w:numPr>
                <w:ilvl w:val="0"/>
                <w:numId w:val="0"/>
              </w:numPr>
              <w:snapToGrid w:val="false"/>
              <w:ind w:hanging="0" w:start="0"/>
              <w:rPr>
                <w:b/>
              </w:rPr>
            </w:pPr>
            <w:r>
              <w:rPr>
                <w:b/>
              </w:rPr>
            </w:r>
          </w:p>
        </w:tc>
        <w:tc>
          <w:tcPr>
            <w:tcW w:w="1506"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0"/>
              </w:numPr>
              <w:tabs>
                <w:tab w:val="clear" w:pos="4320"/>
                <w:tab w:val="clear" w:pos="8640"/>
              </w:tabs>
              <w:snapToGrid w:val="false"/>
              <w:ind w:hanging="0" w:start="0"/>
              <w:rPr>
                <w:b/>
              </w:rPr>
            </w:pPr>
            <w:r>
              <w:rPr>
                <w:b/>
              </w:rPr>
            </w:r>
          </w:p>
        </w:tc>
        <w:tc>
          <w:tcPr>
            <w:tcW w:w="3600" w:type="dxa"/>
            <w:tcBorders>
              <w:top w:val="single" w:sz="6" w:space="0" w:color="000000"/>
              <w:start w:val="single" w:sz="6" w:space="0" w:color="000000"/>
              <w:bottom w:val="single" w:sz="6" w:space="0" w:color="000000"/>
              <w:end w:val="single" w:sz="6" w:space="0" w:color="000000"/>
            </w:tcBorders>
          </w:tcPr>
          <w:p>
            <w:pPr>
              <w:pStyle w:val="Header"/>
              <w:numPr>
                <w:ilvl w:val="0"/>
                <w:numId w:val="0"/>
              </w:numPr>
              <w:tabs>
                <w:tab w:val="clear" w:pos="4320"/>
                <w:tab w:val="clear" w:pos="8640"/>
                <w:tab w:val="left" w:pos="4659" w:leader="none"/>
              </w:tabs>
              <w:snapToGrid w:val="false"/>
              <w:ind w:hanging="0" w:start="0"/>
              <w:rPr/>
            </w:pPr>
            <w:r>
              <w:rPr/>
            </w:r>
          </w:p>
        </w:tc>
        <w:tc>
          <w:tcPr>
            <w:tcW w:w="3630" w:type="dxa"/>
            <w:gridSpan w:val="2"/>
            <w:tcBorders/>
            <w:tcMar>
              <w:start w:w="0" w:type="dxa"/>
              <w:end w:w="0" w:type="dxa"/>
            </w:tcMar>
          </w:tcPr>
          <w:p>
            <w:pPr>
              <w:pStyle w:val="Normal"/>
              <w:snapToGrid w:val="false"/>
              <w:rPr>
                <w:b/>
              </w:rPr>
            </w:pPr>
            <w:r>
              <w:rPr>
                <w:b/>
              </w:rPr>
            </w:r>
          </w:p>
        </w:tc>
      </w:tr>
      <w:tr>
        <w:trPr>
          <w:trHeight w:val="60" w:hRule="atLeast"/>
        </w:trPr>
        <w:tc>
          <w:tcPr>
            <w:tcW w:w="720" w:type="dxa"/>
            <w:tcBorders>
              <w:end w:val="single" w:sz="6" w:space="0" w:color="000000"/>
            </w:tcBorders>
          </w:tcPr>
          <w:p>
            <w:pPr>
              <w:pStyle w:val="Normal"/>
              <w:numPr>
                <w:ilvl w:val="0"/>
                <w:numId w:val="0"/>
              </w:numPr>
              <w:snapToGrid w:val="false"/>
              <w:ind w:hanging="0" w:start="0"/>
              <w:rPr>
                <w:b/>
              </w:rPr>
            </w:pPr>
            <w:r>
              <w:rPr>
                <w:b/>
              </w:rPr>
            </w:r>
          </w:p>
        </w:tc>
        <w:tc>
          <w:tcPr>
            <w:tcW w:w="288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pPr>
            <w:r>
              <w:rPr/>
              <w:t>Enron On-Line</w:t>
            </w:r>
          </w:p>
        </w:tc>
        <w:tc>
          <w:tcPr>
            <w:tcW w:w="1377" w:type="dxa"/>
            <w:tcBorders>
              <w:top w:val="single" w:sz="6" w:space="0" w:color="000000"/>
              <w:start w:val="single" w:sz="6" w:space="0" w:color="000000"/>
              <w:bottom w:val="single" w:sz="6" w:space="0" w:color="000000"/>
              <w:end w:val="single" w:sz="6" w:space="0" w:color="000000"/>
            </w:tcBorders>
          </w:tcPr>
          <w:p>
            <w:pPr>
              <w:pStyle w:val="Normal"/>
              <w:numPr>
                <w:ilvl w:val="0"/>
                <w:numId w:val="3"/>
              </w:numPr>
              <w:rPr/>
            </w:pPr>
            <w:r>
              <w:rPr/>
              <w:t>Bertone</w:t>
            </w:r>
          </w:p>
          <w:p>
            <w:pPr>
              <w:pStyle w:val="Normal"/>
              <w:rPr/>
            </w:pPr>
            <w:r>
              <w:rPr/>
              <w:t>M. Taylor</w:t>
            </w:r>
          </w:p>
        </w:tc>
        <w:tc>
          <w:tcPr>
            <w:tcW w:w="1377"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pPr>
            <w:r>
              <w:rPr/>
              <w:t>Pinheiro Neto</w:t>
            </w:r>
          </w:p>
        </w:tc>
        <w:tc>
          <w:tcPr>
            <w:tcW w:w="1506" w:type="dxa"/>
            <w:gridSpan w:val="2"/>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pPr>
            <w:r>
              <w:rPr/>
              <w:t>Remi Collonges</w:t>
            </w:r>
          </w:p>
        </w:tc>
        <w:tc>
          <w:tcPr>
            <w:tcW w:w="3600" w:type="dxa"/>
            <w:tcBorders>
              <w:top w:val="single" w:sz="6" w:space="0" w:color="000000"/>
              <w:start w:val="single" w:sz="6" w:space="0" w:color="000000"/>
              <w:bottom w:val="single" w:sz="6" w:space="0" w:color="000000"/>
              <w:end w:val="single" w:sz="6" w:space="0" w:color="000000"/>
            </w:tcBorders>
          </w:tcPr>
          <w:p>
            <w:pPr>
              <w:pStyle w:val="Header"/>
              <w:numPr>
                <w:ilvl w:val="0"/>
                <w:numId w:val="0"/>
              </w:numPr>
              <w:tabs>
                <w:tab w:val="clear" w:pos="4320"/>
                <w:tab w:val="clear" w:pos="8640"/>
              </w:tabs>
              <w:ind w:hanging="0" w:start="0"/>
              <w:rPr>
                <w:b/>
              </w:rPr>
            </w:pPr>
            <w:r>
              <w:rPr>
                <w:b/>
              </w:rPr>
              <w:t>Outside counsel engaged. M. Taylor will send standard questionaire to be answered by Pinheiro Neto. Re. enforceability of “e-agreements”.</w:t>
            </w:r>
          </w:p>
        </w:tc>
        <w:tc>
          <w:tcPr>
            <w:tcW w:w="3630" w:type="dxa"/>
            <w:gridSpan w:val="2"/>
            <w:tcBorders/>
            <w:tcMar>
              <w:start w:w="0" w:type="dxa"/>
              <w:end w:w="0" w:type="dxa"/>
            </w:tcMar>
          </w:tcPr>
          <w:p>
            <w:pPr>
              <w:pStyle w:val="Normal"/>
              <w:snapToGrid w:val="false"/>
              <w:rPr>
                <w:b/>
              </w:rPr>
            </w:pPr>
            <w:r>
              <w:rPr>
                <w:b/>
              </w:rPr>
            </w:r>
          </w:p>
        </w:tc>
      </w:tr>
      <w:tr>
        <w:trPr>
          <w:trHeight w:val="60" w:hRule="atLeast"/>
        </w:trPr>
        <w:tc>
          <w:tcPr>
            <w:tcW w:w="720" w:type="dxa"/>
            <w:tcBorders>
              <w:end w:val="single" w:sz="6" w:space="0" w:color="000000"/>
            </w:tcBorders>
          </w:tcPr>
          <w:p>
            <w:pPr>
              <w:pStyle w:val="Normal"/>
              <w:numPr>
                <w:ilvl w:val="0"/>
                <w:numId w:val="0"/>
              </w:numPr>
              <w:snapToGrid w:val="false"/>
              <w:ind w:hanging="0" w:start="0"/>
              <w:rPr>
                <w:b/>
              </w:rPr>
            </w:pPr>
            <w:r>
              <w:rPr>
                <w:b/>
              </w:rPr>
            </w:r>
          </w:p>
        </w:tc>
        <w:tc>
          <w:tcPr>
            <w:tcW w:w="288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pPr>
            <w:r>
              <w:rPr/>
              <w:t>Arcor</w:t>
            </w:r>
          </w:p>
        </w:tc>
        <w:tc>
          <w:tcPr>
            <w:tcW w:w="1377"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pPr>
            <w:r>
              <w:rPr/>
              <w:t>A. Bertone</w:t>
            </w:r>
          </w:p>
          <w:p>
            <w:pPr>
              <w:pStyle w:val="Normal"/>
              <w:numPr>
                <w:ilvl w:val="0"/>
                <w:numId w:val="0"/>
              </w:numPr>
              <w:ind w:hanging="0" w:start="0"/>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pPr>
            <w:r>
              <w:rPr/>
              <w:t>King &amp; Spalding</w:t>
            </w:r>
          </w:p>
          <w:p>
            <w:pPr>
              <w:pStyle w:val="Normal"/>
              <w:numPr>
                <w:ilvl w:val="0"/>
                <w:numId w:val="0"/>
              </w:numPr>
              <w:ind w:hanging="0" w:start="0"/>
              <w:rPr/>
            </w:pPr>
            <w:r>
              <w:rPr/>
              <w:t>Perez Alati</w:t>
            </w:r>
          </w:p>
        </w:tc>
        <w:tc>
          <w:tcPr>
            <w:tcW w:w="1506" w:type="dxa"/>
            <w:gridSpan w:val="2"/>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pPr>
            <w:r>
              <w:rPr/>
              <w:t>Jeff Kabel</w:t>
            </w:r>
          </w:p>
        </w:tc>
        <w:tc>
          <w:tcPr>
            <w:tcW w:w="3600" w:type="dxa"/>
            <w:tcBorders>
              <w:top w:val="single" w:sz="6" w:space="0" w:color="000000"/>
              <w:start w:val="single" w:sz="6" w:space="0" w:color="000000"/>
              <w:bottom w:val="single" w:sz="6" w:space="0" w:color="000000"/>
              <w:end w:val="single" w:sz="6" w:space="0" w:color="000000"/>
            </w:tcBorders>
          </w:tcPr>
          <w:p>
            <w:pPr>
              <w:pStyle w:val="Header"/>
              <w:numPr>
                <w:ilvl w:val="0"/>
                <w:numId w:val="0"/>
              </w:numPr>
              <w:tabs>
                <w:tab w:val="clear" w:pos="4320"/>
                <w:tab w:val="clear" w:pos="8640"/>
              </w:tabs>
              <w:ind w:hanging="0" w:start="0"/>
              <w:rPr/>
            </w:pPr>
            <w:r>
              <w:rPr/>
              <w:t xml:space="preserve">Acquisition of combined cycle power plant in Cordoba. </w:t>
            </w:r>
            <w:r>
              <w:rPr>
                <w:b/>
              </w:rPr>
              <w:t>Parties negotiating Purchase Agreement. Commercial issues still pending.</w:t>
            </w:r>
          </w:p>
          <w:p>
            <w:pPr>
              <w:pStyle w:val="Header"/>
              <w:numPr>
                <w:ilvl w:val="0"/>
                <w:numId w:val="0"/>
              </w:numPr>
              <w:tabs>
                <w:tab w:val="clear" w:pos="4320"/>
                <w:tab w:val="clear" w:pos="8640"/>
              </w:tabs>
              <w:ind w:hanging="0" w:start="0"/>
              <w:rPr>
                <w:b/>
              </w:rPr>
            </w:pPr>
            <w:r>
              <w:rPr>
                <w:b/>
              </w:rPr>
            </w:r>
          </w:p>
        </w:tc>
        <w:tc>
          <w:tcPr>
            <w:tcW w:w="3630" w:type="dxa"/>
            <w:gridSpan w:val="2"/>
            <w:tcBorders/>
            <w:tcMar>
              <w:start w:w="0" w:type="dxa"/>
              <w:end w:w="0" w:type="dxa"/>
            </w:tcMar>
          </w:tcPr>
          <w:p>
            <w:pPr>
              <w:pStyle w:val="Normal"/>
              <w:snapToGrid w:val="false"/>
              <w:rPr>
                <w:b/>
              </w:rPr>
            </w:pPr>
            <w:r>
              <w:rPr>
                <w:b/>
              </w:rPr>
            </w:r>
          </w:p>
        </w:tc>
      </w:tr>
      <w:tr>
        <w:trPr>
          <w:trHeight w:val="60" w:hRule="atLeast"/>
        </w:trPr>
        <w:tc>
          <w:tcPr>
            <w:tcW w:w="720" w:type="dxa"/>
            <w:tcBorders>
              <w:end w:val="single" w:sz="6" w:space="0" w:color="000000"/>
            </w:tcBorders>
          </w:tcPr>
          <w:p>
            <w:pPr>
              <w:pStyle w:val="Header"/>
              <w:numPr>
                <w:ilvl w:val="0"/>
                <w:numId w:val="0"/>
              </w:numPr>
              <w:tabs>
                <w:tab w:val="clear" w:pos="4320"/>
                <w:tab w:val="clear" w:pos="8640"/>
              </w:tabs>
              <w:snapToGrid w:val="false"/>
              <w:ind w:hanging="0" w:start="0"/>
              <w:rPr>
                <w:b/>
              </w:rPr>
            </w:pPr>
            <w:r>
              <w:rPr>
                <w:b/>
              </w:rPr>
            </w:r>
          </w:p>
        </w:tc>
        <w:tc>
          <w:tcPr>
            <w:tcW w:w="2880" w:type="dxa"/>
            <w:tcBorders>
              <w:top w:val="single" w:sz="6" w:space="0" w:color="000000"/>
              <w:start w:val="single" w:sz="6" w:space="0" w:color="000000"/>
              <w:bottom w:val="single" w:sz="6" w:space="0" w:color="000000"/>
              <w:end w:val="single" w:sz="6" w:space="0" w:color="000000"/>
            </w:tcBorders>
          </w:tcPr>
          <w:p>
            <w:pPr>
              <w:pStyle w:val="Header"/>
              <w:numPr>
                <w:ilvl w:val="0"/>
                <w:numId w:val="0"/>
              </w:numPr>
              <w:tabs>
                <w:tab w:val="clear" w:pos="4320"/>
                <w:tab w:val="clear" w:pos="8640"/>
              </w:tabs>
              <w:ind w:hanging="0" w:start="0"/>
              <w:rPr/>
            </w:pPr>
            <w:r>
              <w:rPr/>
              <w:t>Alcan</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A. Bertone</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Tozzini &amp; Freire</w:t>
            </w:r>
          </w:p>
        </w:tc>
        <w:tc>
          <w:tcPr>
            <w:tcW w:w="1506" w:type="dxa"/>
            <w:gridSpan w:val="2"/>
            <w:tcBorders>
              <w:top w:val="single" w:sz="6" w:space="0" w:color="000000"/>
              <w:start w:val="single" w:sz="6" w:space="0" w:color="000000"/>
              <w:bottom w:val="single" w:sz="6" w:space="0" w:color="000000"/>
              <w:end w:val="single" w:sz="6" w:space="0" w:color="000000"/>
            </w:tcBorders>
          </w:tcPr>
          <w:p>
            <w:pPr>
              <w:pStyle w:val="Normal"/>
              <w:rPr/>
            </w:pPr>
            <w:r>
              <w:rPr/>
              <w:t>R Collonges</w:t>
            </w:r>
          </w:p>
          <w:p>
            <w:pPr>
              <w:pStyle w:val="Normal"/>
              <w:rPr/>
            </w:pPr>
            <w:r>
              <w:rPr/>
              <w:t>M Parodi</w:t>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color w:val="000000"/>
              </w:rPr>
            </w:pPr>
            <w:r>
              <w:rPr/>
              <w:t xml:space="preserve">Enron offering hydrological risk management services through entering into a 15 year PPA and O&amp;M Agreement. First Draft PPA presented by commercial team to Alcan. </w:t>
            </w:r>
            <w:r>
              <w:rPr>
                <w:b/>
              </w:rPr>
              <w:t>Transaction is “on hold” while Alcan complies with antitrust requirements related to another deal.</w:t>
            </w:r>
          </w:p>
          <w:p>
            <w:pPr>
              <w:pStyle w:val="Header"/>
              <w:tabs>
                <w:tab w:val="clear" w:pos="4320"/>
                <w:tab w:val="clear" w:pos="8640"/>
              </w:tabs>
              <w:rPr>
                <w:b/>
                <w:color w:val="FF0000"/>
              </w:rPr>
            </w:pPr>
            <w:r>
              <w:rPr>
                <w:b/>
                <w:color w:val="FF0000"/>
              </w:rPr>
            </w:r>
          </w:p>
        </w:tc>
        <w:tc>
          <w:tcPr>
            <w:tcW w:w="3630" w:type="dxa"/>
            <w:gridSpan w:val="2"/>
            <w:tcBorders/>
            <w:tcMar>
              <w:start w:w="0" w:type="dxa"/>
              <w:end w:w="0" w:type="dxa"/>
            </w:tcMar>
          </w:tcPr>
          <w:p>
            <w:pPr>
              <w:pStyle w:val="Normal"/>
              <w:snapToGrid w:val="false"/>
              <w:rPr>
                <w:b/>
                <w:color w:val="FF0000"/>
              </w:rPr>
            </w:pPr>
            <w:r>
              <w:rPr>
                <w:b/>
                <w:color w:val="FF0000"/>
              </w:rPr>
            </w:r>
          </w:p>
        </w:tc>
      </w:tr>
      <w:tr>
        <w:trPr>
          <w:trHeight w:val="60" w:hRule="atLeast"/>
        </w:trPr>
        <w:tc>
          <w:tcPr>
            <w:tcW w:w="720" w:type="dxa"/>
            <w:tcBorders>
              <w:end w:val="single" w:sz="6" w:space="0" w:color="000000"/>
            </w:tcBorders>
          </w:tcPr>
          <w:p>
            <w:pPr>
              <w:pStyle w:val="Normal"/>
              <w:snapToGrid w:val="false"/>
              <w:rPr>
                <w:b/>
              </w:rPr>
            </w:pPr>
            <w:r>
              <w:rPr>
                <w:b/>
              </w:rPr>
            </w:r>
          </w:p>
        </w:tc>
        <w:tc>
          <w:tcPr>
            <w:tcW w:w="288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Moema</w:t>
            </w:r>
          </w:p>
        </w:tc>
        <w:tc>
          <w:tcPr>
            <w:tcW w:w="1377" w:type="dxa"/>
            <w:tcBorders>
              <w:top w:val="single" w:sz="6" w:space="0" w:color="000000"/>
              <w:start w:val="single" w:sz="6" w:space="0" w:color="000000"/>
              <w:bottom w:val="single" w:sz="6" w:space="0" w:color="000000"/>
              <w:end w:val="single" w:sz="6" w:space="0" w:color="000000"/>
            </w:tcBorders>
          </w:tcPr>
          <w:p>
            <w:pPr>
              <w:pStyle w:val="Normal"/>
              <w:numPr>
                <w:ilvl w:val="0"/>
                <w:numId w:val="2"/>
              </w:numPr>
              <w:rPr/>
            </w:pPr>
            <w:r>
              <w:rPr/>
              <w:t>Bertone</w:t>
            </w:r>
          </w:p>
          <w:p>
            <w:pPr>
              <w:pStyle w:val="Header"/>
              <w:tabs>
                <w:tab w:val="clear" w:pos="4320"/>
                <w:tab w:val="clear" w:pos="8640"/>
              </w:tabs>
              <w:rPr/>
            </w:pPr>
            <w:r>
              <w:rPr/>
              <w:t>D. Klinger</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Tozzini &amp; Freire</w:t>
            </w:r>
          </w:p>
          <w:p>
            <w:pPr>
              <w:pStyle w:val="Normal"/>
              <w:rPr/>
            </w:pPr>
            <w:r>
              <w:rPr/>
            </w:r>
          </w:p>
          <w:p>
            <w:pPr>
              <w:pStyle w:val="Normal"/>
              <w:rPr/>
            </w:pPr>
            <w:r>
              <w:rPr/>
            </w:r>
          </w:p>
          <w:p>
            <w:pPr>
              <w:pStyle w:val="Normal"/>
              <w:rPr/>
            </w:pPr>
            <w:r>
              <w:rPr/>
            </w:r>
          </w:p>
          <w:p>
            <w:pPr>
              <w:pStyle w:val="Normal"/>
              <w:rPr/>
            </w:pPr>
            <w:r>
              <w:rPr/>
            </w:r>
          </w:p>
        </w:tc>
        <w:tc>
          <w:tcPr>
            <w:tcW w:w="1506" w:type="dxa"/>
            <w:gridSpan w:val="2"/>
            <w:tcBorders>
              <w:top w:val="single" w:sz="6" w:space="0" w:color="000000"/>
              <w:start w:val="single" w:sz="6" w:space="0" w:color="000000"/>
              <w:bottom w:val="single" w:sz="6" w:space="0" w:color="000000"/>
              <w:end w:val="single" w:sz="6" w:space="0" w:color="000000"/>
            </w:tcBorders>
          </w:tcPr>
          <w:p>
            <w:pPr>
              <w:pStyle w:val="Normal"/>
              <w:rPr/>
            </w:pPr>
            <w:r>
              <w:rPr/>
              <w:t>R Collonges</w:t>
            </w:r>
          </w:p>
          <w:p>
            <w:pPr>
              <w:pStyle w:val="Normal"/>
              <w:rPr/>
            </w:pPr>
            <w:r>
              <w:rPr/>
              <w:t>M Parodi</w:t>
            </w:r>
          </w:p>
          <w:p>
            <w:pPr>
              <w:pStyle w:val="Normal"/>
              <w:rPr/>
            </w:pPr>
            <w:r>
              <w:rPr/>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10-year PPA to purchase 1.7 MW of firm power; PPA signed by both parties; Services Agreement w/ Elektro to upgrade transmission line approved by ANEEL; Possibility of selling the power to Elektro at a biomass price. </w:t>
            </w:r>
            <w:r>
              <w:rPr>
                <w:b/>
              </w:rPr>
              <w:t>PPA between ECE and Elektro sent to ANEEL for approval.</w:t>
            </w:r>
            <w:r>
              <w:rPr/>
              <w:t xml:space="preserve"> </w:t>
            </w:r>
            <w:r>
              <w:rPr>
                <w:b/>
              </w:rPr>
              <w:t>Adapting PPA to include an intermediary in the deal for accounting purposes. Working on research re. tax impact of transaction.</w:t>
            </w:r>
          </w:p>
          <w:p>
            <w:pPr>
              <w:pStyle w:val="Header"/>
              <w:tabs>
                <w:tab w:val="clear" w:pos="4320"/>
                <w:tab w:val="clear" w:pos="8640"/>
              </w:tabs>
              <w:rPr>
                <w:b/>
              </w:rPr>
            </w:pPr>
            <w:r>
              <w:rPr>
                <w:b/>
              </w:rPr>
            </w:r>
          </w:p>
        </w:tc>
        <w:tc>
          <w:tcPr>
            <w:tcW w:w="3630" w:type="dxa"/>
            <w:gridSpan w:val="2"/>
            <w:tcBorders/>
            <w:tcMar>
              <w:start w:w="0" w:type="dxa"/>
              <w:end w:w="0" w:type="dxa"/>
            </w:tcMar>
          </w:tcPr>
          <w:p>
            <w:pPr>
              <w:pStyle w:val="Normal"/>
              <w:snapToGrid w:val="false"/>
              <w:rPr>
                <w:b/>
              </w:rPr>
            </w:pPr>
            <w:r>
              <w:rPr>
                <w:b/>
              </w:rPr>
            </w:r>
          </w:p>
        </w:tc>
      </w:tr>
      <w:tr>
        <w:trPr>
          <w:trHeight w:val="1083" w:hRule="atLeast"/>
        </w:trPr>
        <w:tc>
          <w:tcPr>
            <w:tcW w:w="720" w:type="dxa"/>
            <w:tcBorders>
              <w:end w:val="single" w:sz="6" w:space="0" w:color="000000"/>
            </w:tcBorders>
          </w:tcPr>
          <w:p>
            <w:pPr>
              <w:pStyle w:val="Normal"/>
              <w:snapToGrid w:val="false"/>
              <w:rPr>
                <w:b/>
              </w:rPr>
            </w:pPr>
            <w:r>
              <w:rPr>
                <w:b/>
              </w:rPr>
            </w:r>
          </w:p>
        </w:tc>
        <w:tc>
          <w:tcPr>
            <w:tcW w:w="288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EnergyWorks</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Bertone</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47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C. Brun</w:t>
            </w:r>
          </w:p>
        </w:tc>
        <w:tc>
          <w:tcPr>
            <w:tcW w:w="3630"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t xml:space="preserve">Long term PPA for purchase of power. Term Sheet signed by both parties. </w:t>
            </w:r>
            <w:r>
              <w:rPr>
                <w:b/>
              </w:rPr>
              <w:t>EnergyWorks trying to negotiate commercial terms.</w:t>
            </w:r>
            <w:r>
              <w:rPr/>
              <w:t xml:space="preserve">  </w:t>
            </w:r>
          </w:p>
        </w:tc>
        <w:tc>
          <w:tcPr>
            <w:tcW w:w="3630" w:type="dxa"/>
            <w:gridSpan w:val="2"/>
            <w:tcBorders/>
            <w:tcMar>
              <w:start w:w="0" w:type="dxa"/>
              <w:end w:w="0" w:type="dxa"/>
            </w:tcMar>
          </w:tcPr>
          <w:p>
            <w:pPr>
              <w:pStyle w:val="Normal"/>
              <w:snapToGrid w:val="false"/>
              <w:rPr>
                <w:b/>
              </w:rPr>
            </w:pPr>
            <w:r>
              <w:rPr>
                <w:b/>
              </w:rPr>
            </w:r>
          </w:p>
        </w:tc>
      </w:tr>
      <w:tr>
        <w:trPr>
          <w:trHeight w:val="60" w:hRule="atLeast"/>
        </w:trPr>
        <w:tc>
          <w:tcPr>
            <w:tcW w:w="720" w:type="dxa"/>
            <w:tcBorders>
              <w:end w:val="single" w:sz="6" w:space="0" w:color="000000"/>
            </w:tcBorders>
          </w:tcPr>
          <w:p>
            <w:pPr>
              <w:pStyle w:val="Header"/>
              <w:tabs>
                <w:tab w:val="clear" w:pos="4320"/>
                <w:tab w:val="clear" w:pos="8640"/>
              </w:tabs>
              <w:snapToGrid w:val="false"/>
              <w:rPr>
                <w:b/>
              </w:rPr>
            </w:pPr>
            <w:r>
              <w:rPr>
                <w:b/>
              </w:rPr>
            </w:r>
          </w:p>
        </w:tc>
        <w:tc>
          <w:tcPr>
            <w:tcW w:w="2880" w:type="dxa"/>
            <w:tcBorders>
              <w:top w:val="single" w:sz="6" w:space="0" w:color="000000"/>
              <w:start w:val="single" w:sz="6" w:space="0" w:color="000000"/>
              <w:bottom w:val="single" w:sz="6" w:space="0" w:color="000000"/>
              <w:end w:val="single" w:sz="6" w:space="0" w:color="000000"/>
            </w:tcBorders>
          </w:tcPr>
          <w:p>
            <w:pPr>
              <w:pStyle w:val="Normal"/>
              <w:rPr>
                <w:b/>
              </w:rPr>
            </w:pPr>
            <w:r>
              <w:rPr/>
              <w:t>Veracel</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A. Bertone</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MI Granado</w:t>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Financial and physical off take management for 1.5 bi Bahia Pulp Plant Project to be financed w/ cash + equity. </w:t>
            </w:r>
            <w:r>
              <w:rPr>
                <w:b/>
              </w:rPr>
              <w:t xml:space="preserve">On hold while Stora Enso negotiates acquisition of Odebrecht’s participation. </w:t>
            </w:r>
          </w:p>
          <w:p>
            <w:pPr>
              <w:pStyle w:val="Header"/>
              <w:tabs>
                <w:tab w:val="clear" w:pos="4320"/>
                <w:tab w:val="clear" w:pos="8640"/>
              </w:tabs>
              <w:rPr>
                <w:b/>
              </w:rPr>
            </w:pPr>
            <w:r>
              <w:rPr>
                <w:b/>
              </w:rPr>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pPr>
            <w:r>
              <w:rPr/>
            </w:r>
          </w:p>
        </w:tc>
        <w:tc>
          <w:tcPr>
            <w:tcW w:w="30" w:type="dxa"/>
            <w:tcBorders/>
            <w:tcMar>
              <w:start w:w="0" w:type="dxa"/>
              <w:end w:w="0" w:type="dxa"/>
            </w:tcMar>
          </w:tcPr>
          <w:p>
            <w:pPr>
              <w:pStyle w:val="Normal"/>
              <w:snapToGrid w:val="false"/>
              <w:rPr>
                <w:b/>
              </w:rPr>
            </w:pPr>
            <w:r>
              <w:rPr>
                <w:b/>
              </w:rPr>
            </w:r>
          </w:p>
        </w:tc>
      </w:tr>
      <w:tr>
        <w:trPr>
          <w:trHeight w:val="60" w:hRule="atLeast"/>
        </w:trPr>
        <w:tc>
          <w:tcPr>
            <w:tcW w:w="720" w:type="dxa"/>
            <w:tcBorders>
              <w:end w:val="single" w:sz="6" w:space="0" w:color="000000"/>
            </w:tcBorders>
          </w:tcPr>
          <w:p>
            <w:pPr>
              <w:pStyle w:val="Normal"/>
              <w:snapToGrid w:val="false"/>
              <w:rPr>
                <w:b/>
              </w:rPr>
            </w:pPr>
            <w:r>
              <w:rPr>
                <w:b/>
              </w:rPr>
            </w:r>
          </w:p>
        </w:tc>
        <w:tc>
          <w:tcPr>
            <w:tcW w:w="288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Eletrobrás</w:t>
            </w:r>
          </w:p>
        </w:tc>
        <w:tc>
          <w:tcPr>
            <w:tcW w:w="1377" w:type="dxa"/>
            <w:tcBorders>
              <w:top w:val="single" w:sz="6" w:space="0" w:color="000000"/>
              <w:start w:val="single" w:sz="6" w:space="0" w:color="000000"/>
              <w:bottom w:val="single" w:sz="6" w:space="0" w:color="000000"/>
              <w:end w:val="single" w:sz="6" w:space="0" w:color="000000"/>
            </w:tcBorders>
          </w:tcPr>
          <w:p>
            <w:pPr>
              <w:pStyle w:val="Normal"/>
              <w:rPr>
                <w:b/>
              </w:rPr>
            </w:pPr>
            <w:r>
              <w:rPr/>
              <w:t>A. Bertone</w:t>
            </w:r>
          </w:p>
        </w:tc>
        <w:tc>
          <w:tcPr>
            <w:tcW w:w="1377" w:type="dxa"/>
            <w:tcBorders>
              <w:top w:val="single" w:sz="6" w:space="0" w:color="000000"/>
              <w:start w:val="single" w:sz="6" w:space="0" w:color="000000"/>
              <w:bottom w:val="single" w:sz="6" w:space="0" w:color="000000"/>
              <w:end w:val="single" w:sz="6" w:space="0" w:color="000000"/>
            </w:tcBorders>
          </w:tcPr>
          <w:p>
            <w:pPr>
              <w:pStyle w:val="Normal"/>
              <w:rPr>
                <w:b/>
              </w:rPr>
            </w:pPr>
            <w:r>
              <w:rPr/>
              <w:t>Tozzini &amp; Freire</w:t>
            </w:r>
          </w:p>
        </w:tc>
        <w:tc>
          <w:tcPr>
            <w:tcW w:w="1506" w:type="dxa"/>
            <w:gridSpan w:val="2"/>
            <w:tcBorders>
              <w:top w:val="single" w:sz="6" w:space="0" w:color="000000"/>
              <w:start w:val="single" w:sz="6" w:space="0" w:color="000000"/>
              <w:bottom w:val="single" w:sz="6" w:space="0" w:color="000000"/>
              <w:end w:val="single" w:sz="6" w:space="0" w:color="000000"/>
            </w:tcBorders>
          </w:tcPr>
          <w:p>
            <w:pPr>
              <w:pStyle w:val="Heading1"/>
              <w:ind w:hanging="0" w:start="0"/>
              <w:rPr>
                <w:b w:val="false"/>
              </w:rPr>
            </w:pPr>
            <w:r>
              <w:rPr>
                <w:b w:val="false"/>
              </w:rPr>
              <w:t>MI Granado</w:t>
            </w:r>
          </w:p>
          <w:p>
            <w:pPr>
              <w:pStyle w:val="Header"/>
              <w:tabs>
                <w:tab w:val="clear" w:pos="4320"/>
                <w:tab w:val="clear" w:pos="8640"/>
              </w:tabs>
              <w:rPr/>
            </w:pPr>
            <w:r>
              <w:rPr/>
              <w:t>C Barnes</w:t>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Monetization of a portion of the capacity payments to be made by Elektro to Eletrobrás to purchase Itaipu Power. Enron and Banks will submit terms and conditions for bid on 02/08/00. </w:t>
            </w:r>
            <w:r>
              <w:rPr>
                <w:b/>
              </w:rPr>
              <w:t>Eletrobras never got back to us, but apparently Eletrobras chose a bank to lead a process of emission of bonds.  More likely it will not materialize.</w:t>
            </w:r>
          </w:p>
        </w:tc>
        <w:tc>
          <w:tcPr>
            <w:tcW w:w="3630" w:type="dxa"/>
            <w:gridSpan w:val="2"/>
            <w:tcBorders/>
            <w:tcMar>
              <w:start w:w="0" w:type="dxa"/>
              <w:end w:w="0" w:type="dxa"/>
            </w:tcMar>
          </w:tcPr>
          <w:p>
            <w:pPr>
              <w:pStyle w:val="Normal"/>
              <w:snapToGrid w:val="false"/>
              <w:rPr/>
            </w:pPr>
            <w:r>
              <w:rPr/>
            </w:r>
          </w:p>
        </w:tc>
      </w:tr>
      <w:tr>
        <w:trPr>
          <w:trHeight w:val="60" w:hRule="atLeast"/>
        </w:trPr>
        <w:tc>
          <w:tcPr>
            <w:tcW w:w="720" w:type="dxa"/>
            <w:tcBorders>
              <w:end w:val="single" w:sz="6" w:space="0" w:color="000000"/>
            </w:tcBorders>
          </w:tcPr>
          <w:p>
            <w:pPr>
              <w:pStyle w:val="Header"/>
              <w:tabs>
                <w:tab w:val="clear" w:pos="4320"/>
                <w:tab w:val="clear" w:pos="8640"/>
              </w:tabs>
              <w:snapToGrid w:val="false"/>
              <w:rPr>
                <w:b/>
              </w:rPr>
            </w:pPr>
            <w:r>
              <w:rPr>
                <w:b/>
              </w:rPr>
            </w:r>
          </w:p>
        </w:tc>
        <w:tc>
          <w:tcPr>
            <w:tcW w:w="288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Riocell</w:t>
            </w:r>
          </w:p>
        </w:tc>
        <w:tc>
          <w:tcPr>
            <w:tcW w:w="1377" w:type="dxa"/>
            <w:tcBorders>
              <w:top w:val="single" w:sz="6" w:space="0" w:color="000000"/>
              <w:start w:val="single" w:sz="6" w:space="0" w:color="000000"/>
              <w:bottom w:val="single" w:sz="6" w:space="0" w:color="000000"/>
              <w:end w:val="single" w:sz="6" w:space="0" w:color="000000"/>
            </w:tcBorders>
          </w:tcPr>
          <w:p>
            <w:pPr>
              <w:pStyle w:val="Normal"/>
              <w:rPr>
                <w:b/>
              </w:rPr>
            </w:pPr>
            <w:r>
              <w:rPr/>
              <w:t>A. Bertone</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gridSpan w:val="2"/>
            <w:tcBorders>
              <w:top w:val="single" w:sz="6" w:space="0" w:color="000000"/>
              <w:start w:val="single" w:sz="6" w:space="0" w:color="000000"/>
              <w:bottom w:val="single" w:sz="6" w:space="0" w:color="000000"/>
              <w:end w:val="single" w:sz="6" w:space="0" w:color="000000"/>
            </w:tcBorders>
          </w:tcPr>
          <w:p>
            <w:pPr>
              <w:pStyle w:val="Heading1"/>
              <w:ind w:hanging="0" w:start="0"/>
              <w:rPr>
                <w:b w:val="false"/>
              </w:rPr>
            </w:pPr>
            <w:r>
              <w:rPr>
                <w:b w:val="false"/>
              </w:rPr>
              <w:t>MI Granado</w:t>
            </w:r>
          </w:p>
          <w:p>
            <w:pPr>
              <w:pStyle w:val="Header"/>
              <w:tabs>
                <w:tab w:val="clear" w:pos="4320"/>
                <w:tab w:val="clear" w:pos="8640"/>
              </w:tabs>
              <w:rPr/>
            </w:pPr>
            <w:r>
              <w:rPr/>
              <w:t>C Barnes</w:t>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Prepayment and PPA. Commercial team preparing revised version of Term Sheet.</w:t>
            </w:r>
          </w:p>
          <w:p>
            <w:pPr>
              <w:pStyle w:val="Header"/>
              <w:tabs>
                <w:tab w:val="clear" w:pos="4320"/>
                <w:tab w:val="clear" w:pos="8640"/>
              </w:tabs>
              <w:rPr>
                <w:b/>
              </w:rPr>
            </w:pPr>
            <w:r>
              <w:rPr>
                <w:b/>
              </w:rPr>
            </w:r>
          </w:p>
        </w:tc>
        <w:tc>
          <w:tcPr>
            <w:tcW w:w="3630" w:type="dxa"/>
            <w:gridSpan w:val="2"/>
            <w:tcBorders/>
            <w:tcMar>
              <w:start w:w="0" w:type="dxa"/>
              <w:end w:w="0" w:type="dxa"/>
            </w:tcMar>
          </w:tcPr>
          <w:p>
            <w:pPr>
              <w:pStyle w:val="Normal"/>
              <w:snapToGrid w:val="false"/>
              <w:rPr>
                <w:b/>
              </w:rPr>
            </w:pPr>
            <w:r>
              <w:rPr>
                <w:b/>
              </w:rPr>
            </w:r>
          </w:p>
        </w:tc>
      </w:tr>
      <w:tr>
        <w:trPr>
          <w:trHeight w:val="60" w:hRule="atLeast"/>
        </w:trPr>
        <w:tc>
          <w:tcPr>
            <w:tcW w:w="720" w:type="dxa"/>
            <w:tcBorders>
              <w:end w:val="single" w:sz="6" w:space="0" w:color="000000"/>
            </w:tcBorders>
          </w:tcPr>
          <w:p>
            <w:pPr>
              <w:pStyle w:val="Normal"/>
              <w:snapToGrid w:val="false"/>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rPr/>
            </w:pPr>
            <w:r>
              <w:rPr/>
              <w:t>Load Balancing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Bertone</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Tozzini &amp; Freire</w:t>
            </w:r>
          </w:p>
        </w:tc>
        <w:tc>
          <w:tcPr>
            <w:tcW w:w="1506" w:type="dxa"/>
            <w:gridSpan w:val="2"/>
            <w:tcBorders>
              <w:top w:val="single" w:sz="6" w:space="0" w:color="000000"/>
              <w:start w:val="single" w:sz="6" w:space="0" w:color="000000"/>
              <w:bottom w:val="single" w:sz="6" w:space="0" w:color="000000"/>
              <w:end w:val="single" w:sz="6" w:space="0" w:color="000000"/>
            </w:tcBorders>
          </w:tcPr>
          <w:p>
            <w:pPr>
              <w:pStyle w:val="Normal"/>
              <w:rPr/>
            </w:pPr>
            <w:r>
              <w:rPr/>
              <w:t>C. Brun</w:t>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Bertone sent Load Balancing and Amendment for signature on 01/26/00. Marco Antonio (Elektro) confirmed that Amendment complies with ANEEL’s requirements.  </w:t>
            </w:r>
            <w:r>
              <w:rPr>
                <w:b/>
              </w:rPr>
              <w:t>Originals were lost while being signed. New version sent to Elektro for signature.</w:t>
            </w:r>
          </w:p>
          <w:p>
            <w:pPr>
              <w:pStyle w:val="Header"/>
              <w:tabs>
                <w:tab w:val="clear" w:pos="4320"/>
                <w:tab w:val="clear" w:pos="8640"/>
              </w:tabs>
              <w:rPr>
                <w:b/>
              </w:rPr>
            </w:pPr>
            <w:r>
              <w:rPr>
                <w:b/>
              </w:rPr>
            </w:r>
          </w:p>
        </w:tc>
        <w:tc>
          <w:tcPr>
            <w:tcW w:w="3630" w:type="dxa"/>
            <w:gridSpan w:val="2"/>
            <w:tcBorders/>
            <w:tcMar>
              <w:start w:w="0" w:type="dxa"/>
              <w:end w:w="0" w:type="dxa"/>
            </w:tcMar>
          </w:tcPr>
          <w:p>
            <w:pPr>
              <w:pStyle w:val="Normal"/>
              <w:snapToGrid w:val="false"/>
              <w:rPr>
                <w:b/>
              </w:rPr>
            </w:pPr>
            <w:r>
              <w:rPr>
                <w:b/>
              </w:rPr>
            </w:r>
          </w:p>
        </w:tc>
      </w:tr>
      <w:tr>
        <w:trPr>
          <w:trHeight w:val="60" w:hRule="atLeast"/>
        </w:trPr>
        <w:tc>
          <w:tcPr>
            <w:tcW w:w="720" w:type="dxa"/>
            <w:tcBorders>
              <w:end w:val="single" w:sz="6" w:space="0" w:color="000000"/>
            </w:tcBorders>
          </w:tcPr>
          <w:p>
            <w:pPr>
              <w:pStyle w:val="Normal"/>
              <w:snapToGrid w:val="false"/>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Brazil Trading</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S Shackleton</w:t>
            </w:r>
          </w:p>
          <w:p>
            <w:pPr>
              <w:pStyle w:val="Normal"/>
              <w:rPr/>
            </w:pPr>
            <w:r>
              <w:rPr/>
              <w:t>A Bertone</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Tozzini &amp; Freire</w:t>
            </w:r>
          </w:p>
        </w:tc>
        <w:tc>
          <w:tcPr>
            <w:tcW w:w="1506"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Meeting with Tozzini re. general issues re. trading in Brazil held on 11/30. Tozzini preparing chart with “do’s &amp; don’ts”. Project delayed because of new BACEN legislation being enacted in Brazil. Project to prepare form contracts for trading in Brazil to be discussed with B. Hendry and S. Shackleton. </w:t>
            </w:r>
          </w:p>
          <w:p>
            <w:pPr>
              <w:pStyle w:val="Header"/>
              <w:tabs>
                <w:tab w:val="clear" w:pos="4320"/>
                <w:tab w:val="clear" w:pos="8640"/>
              </w:tabs>
              <w:rPr>
                <w:b/>
              </w:rPr>
            </w:pPr>
            <w:r>
              <w:rPr>
                <w:b/>
              </w:rPr>
            </w:r>
          </w:p>
        </w:tc>
        <w:tc>
          <w:tcPr>
            <w:tcW w:w="3630" w:type="dxa"/>
            <w:gridSpan w:val="2"/>
            <w:tcBorders/>
            <w:tcMar>
              <w:start w:w="0" w:type="dxa"/>
              <w:end w:w="0" w:type="dxa"/>
            </w:tcMar>
          </w:tcPr>
          <w:p>
            <w:pPr>
              <w:pStyle w:val="Normal"/>
              <w:snapToGrid w:val="false"/>
              <w:rPr>
                <w:b/>
              </w:rPr>
            </w:pPr>
            <w:r>
              <w:rPr>
                <w:b/>
              </w:rPr>
            </w:r>
          </w:p>
        </w:tc>
      </w:tr>
      <w:tr>
        <w:trPr>
          <w:trHeight w:val="777" w:hRule="atLeast"/>
        </w:trPr>
        <w:tc>
          <w:tcPr>
            <w:tcW w:w="720" w:type="dxa"/>
            <w:tcBorders>
              <w:end w:val="single" w:sz="6" w:space="0" w:color="000000"/>
            </w:tcBorders>
          </w:tcPr>
          <w:p>
            <w:pPr>
              <w:pStyle w:val="Header"/>
              <w:tabs>
                <w:tab w:val="clear" w:pos="4320"/>
                <w:tab w:val="clear" w:pos="8640"/>
              </w:tabs>
              <w:snapToGrid w:val="false"/>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rPr/>
            </w:pPr>
            <w:r>
              <w:rPr/>
              <w:t>Rhodia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Bertone</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Pinheiro Neto</w:t>
            </w:r>
          </w:p>
        </w:tc>
        <w:tc>
          <w:tcPr>
            <w:tcW w:w="1506" w:type="dxa"/>
            <w:gridSpan w:val="2"/>
            <w:tcBorders>
              <w:top w:val="single" w:sz="6" w:space="0" w:color="000000"/>
              <w:start w:val="single" w:sz="6" w:space="0" w:color="000000"/>
              <w:bottom w:val="single" w:sz="6" w:space="0" w:color="000000"/>
              <w:end w:val="single" w:sz="6" w:space="0" w:color="000000"/>
            </w:tcBorders>
          </w:tcPr>
          <w:p>
            <w:pPr>
              <w:pStyle w:val="Normal"/>
              <w:rPr/>
            </w:pPr>
            <w:r>
              <w:rPr/>
              <w:t>MI Granado</w:t>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EOS project. Term Sheet sent to Rhodia on 2/28. </w:t>
            </w:r>
            <w:r>
              <w:rPr>
                <w:b/>
              </w:rPr>
              <w:t>Waiting for</w:t>
            </w:r>
            <w:r>
              <w:rPr/>
              <w:t xml:space="preserve"> </w:t>
            </w:r>
            <w:r>
              <w:rPr>
                <w:b/>
              </w:rPr>
              <w:t xml:space="preserve">Rhodia’s decision to move forward with deal. </w:t>
            </w:r>
          </w:p>
          <w:p>
            <w:pPr>
              <w:pStyle w:val="Header"/>
              <w:tabs>
                <w:tab w:val="clear" w:pos="4320"/>
                <w:tab w:val="clear" w:pos="8640"/>
              </w:tabs>
              <w:rPr>
                <w:b/>
              </w:rPr>
            </w:pPr>
            <w:r>
              <w:rPr>
                <w:b/>
              </w:rPr>
            </w:r>
          </w:p>
        </w:tc>
        <w:tc>
          <w:tcPr>
            <w:tcW w:w="3630" w:type="dxa"/>
            <w:gridSpan w:val="2"/>
            <w:tcBorders/>
            <w:tcMar>
              <w:start w:w="0" w:type="dxa"/>
              <w:end w:w="0" w:type="dxa"/>
            </w:tcMar>
          </w:tcPr>
          <w:p>
            <w:pPr>
              <w:pStyle w:val="Normal"/>
              <w:snapToGrid w:val="false"/>
              <w:rPr>
                <w:b/>
              </w:rPr>
            </w:pPr>
            <w:r>
              <w:rPr>
                <w:b/>
              </w:rPr>
            </w:r>
          </w:p>
        </w:tc>
      </w:tr>
      <w:tr>
        <w:trPr>
          <w:trHeight w:val="60" w:hRule="atLeast"/>
        </w:trPr>
        <w:tc>
          <w:tcPr>
            <w:tcW w:w="720" w:type="dxa"/>
            <w:tcBorders>
              <w:end w:val="single" w:sz="6" w:space="0" w:color="000000"/>
            </w:tcBorders>
          </w:tcPr>
          <w:p>
            <w:pPr>
              <w:pStyle w:val="Normal"/>
              <w:snapToGrid w:val="false"/>
              <w:rPr>
                <w:b/>
              </w:rPr>
            </w:pPr>
            <w:r>
              <w:rPr>
                <w:b/>
              </w:rPr>
            </w:r>
          </w:p>
          <w:p>
            <w:pPr>
              <w:pStyle w:val="Normal"/>
              <w:rPr/>
            </w:pPr>
            <w:r>
              <w:rPr/>
            </w:r>
          </w:p>
          <w:p>
            <w:pPr>
              <w:pStyle w:val="Normal"/>
              <w:rPr/>
            </w:pPr>
            <w:r>
              <w:rPr/>
            </w:r>
          </w:p>
          <w:p>
            <w:pPr>
              <w:pStyle w:val="Normal"/>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b/>
              </w:rPr>
            </w:pPr>
            <w:r>
              <w:rPr>
                <w:b/>
              </w:rPr>
            </w:r>
          </w:p>
        </w:tc>
        <w:tc>
          <w:tcPr>
            <w:tcW w:w="3630" w:type="dxa"/>
            <w:gridSpan w:val="2"/>
            <w:tcBorders/>
            <w:tcMar>
              <w:start w:w="0" w:type="dxa"/>
              <w:end w:w="0" w:type="dxa"/>
            </w:tcMar>
          </w:tcPr>
          <w:p>
            <w:pPr>
              <w:pStyle w:val="Normal"/>
              <w:snapToGrid w:val="false"/>
              <w:rPr>
                <w:b/>
              </w:rPr>
            </w:pPr>
            <w:r>
              <w:rPr>
                <w:b/>
              </w:rPr>
            </w:r>
          </w:p>
        </w:tc>
      </w:tr>
      <w:tr>
        <w:trPr>
          <w:trHeight w:val="1335" w:hRule="atLeast"/>
        </w:trPr>
        <w:tc>
          <w:tcPr>
            <w:tcW w:w="720" w:type="dxa"/>
            <w:tcBorders>
              <w:end w:val="single" w:sz="6" w:space="0" w:color="000000"/>
            </w:tcBorders>
          </w:tcPr>
          <w:p>
            <w:pPr>
              <w:pStyle w:val="Normal"/>
              <w:snapToGrid w:val="false"/>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b/>
              </w:rPr>
            </w:pPr>
            <w:r>
              <w:rPr>
                <w:b/>
              </w:rPr>
            </w:r>
          </w:p>
        </w:tc>
        <w:tc>
          <w:tcPr>
            <w:tcW w:w="3630" w:type="dxa"/>
            <w:gridSpan w:val="2"/>
            <w:tcBorders/>
            <w:tcMar>
              <w:start w:w="0" w:type="dxa"/>
              <w:end w:w="0" w:type="dxa"/>
            </w:tcMar>
          </w:tcPr>
          <w:p>
            <w:pPr>
              <w:pStyle w:val="Normal"/>
              <w:snapToGrid w:val="false"/>
              <w:rPr>
                <w:b/>
              </w:rPr>
            </w:pPr>
            <w:r>
              <w:rPr>
                <w:b/>
              </w:rPr>
            </w:r>
          </w:p>
        </w:tc>
      </w:tr>
      <w:tr>
        <w:trPr>
          <w:trHeight w:val="570" w:hRule="atLeast"/>
        </w:trPr>
        <w:tc>
          <w:tcPr>
            <w:tcW w:w="720" w:type="dxa"/>
            <w:tcBorders>
              <w:end w:val="single" w:sz="6" w:space="0" w:color="000000"/>
            </w:tcBorders>
          </w:tcPr>
          <w:p>
            <w:pPr>
              <w:pStyle w:val="Normal"/>
              <w:snapToGrid w:val="false"/>
              <w:rPr/>
            </w:pPr>
            <w:r>
              <w:rPr/>
            </w:r>
          </w:p>
          <w:p>
            <w:pPr>
              <w:pStyle w:val="Normal"/>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rPr/>
            </w:pPr>
            <w:r>
              <w:rPr/>
              <w:t>Cianê</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S. Arap</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gridSpan w:val="2"/>
            <w:tcBorders>
              <w:top w:val="single" w:sz="6" w:space="0" w:color="000000"/>
              <w:start w:val="single" w:sz="6" w:space="0" w:color="000000"/>
              <w:bottom w:val="single" w:sz="6" w:space="0" w:color="000000"/>
              <w:end w:val="single" w:sz="6" w:space="0" w:color="000000"/>
            </w:tcBorders>
          </w:tcPr>
          <w:p>
            <w:pPr>
              <w:pStyle w:val="Normal"/>
              <w:rPr/>
            </w:pPr>
            <w:r>
              <w:rPr/>
              <w:t>D. Carroll</w:t>
            </w:r>
          </w:p>
          <w:p>
            <w:pPr>
              <w:pStyle w:val="Normal"/>
              <w:rPr/>
            </w:pPr>
            <w:r>
              <w:rPr/>
              <w:t>R. Collonges</w:t>
            </w:r>
          </w:p>
          <w:p>
            <w:pPr>
              <w:pStyle w:val="Normal"/>
              <w:rPr/>
            </w:pPr>
            <w:r>
              <w:rPr/>
              <w:t>MI Granado</w:t>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Enron offering hydrological risk management services through entering into a 10-year PPA and O&amp;M Agreement with a PCH located in Elektro’s territory.  Owner of PCH filed for Concordata (Chapter 11).  On Feb 1, 2000, preliminary discussions with owners of the PCH re proposed deal structure.  S Arap and Vasco reviewed the deal structure and suggested a number of changes.  D Carroll to meet with the owners of the PCH on Feb. 8, 2000.  S Arap discussed details of the deal with José Emílio (Tozzini) and will provide our business people with a legal opinion re potential fraud of Cianê’s creditors.  On Feb. 18, 2000, S Arap met with Cianê’s owner and its bankruptcy lawyer to explain the only alternative to move this deal forward.  Cianê to consider alternative and return to ECE by Feb. 25, 2000. D Carroll met with Cianê to discuss commercial terms.  On 3/16, S Arap prepared a draft term sheet.  Waiting for comments from Enron’s commercial people.</w:t>
            </w:r>
            <w:r>
              <w:rPr>
                <w:b/>
              </w:rPr>
              <w:t xml:space="preserve">  Term sheet delivered to Cianê on 3/24/00.  Waiting for Cianê’s comments.</w:t>
            </w:r>
          </w:p>
          <w:p>
            <w:pPr>
              <w:pStyle w:val="Header"/>
              <w:tabs>
                <w:tab w:val="clear" w:pos="4320"/>
                <w:tab w:val="clear" w:pos="8640"/>
              </w:tabs>
              <w:rPr>
                <w:b/>
              </w:rPr>
            </w:pPr>
            <w:r>
              <w:rPr>
                <w:b/>
              </w:rPr>
            </w:r>
          </w:p>
        </w:tc>
        <w:tc>
          <w:tcPr>
            <w:tcW w:w="3630" w:type="dxa"/>
            <w:gridSpan w:val="2"/>
            <w:tcBorders/>
            <w:tcMar>
              <w:start w:w="0" w:type="dxa"/>
              <w:end w:w="0" w:type="dxa"/>
            </w:tcMar>
          </w:tcPr>
          <w:p>
            <w:pPr>
              <w:pStyle w:val="Normal"/>
              <w:snapToGrid w:val="false"/>
              <w:rPr>
                <w:b/>
              </w:rPr>
            </w:pPr>
            <w:r>
              <w:rPr>
                <w:b/>
              </w:rPr>
            </w:r>
          </w:p>
        </w:tc>
      </w:tr>
      <w:tr>
        <w:trPr>
          <w:trHeight w:val="60" w:hRule="atLeast"/>
        </w:trPr>
        <w:tc>
          <w:tcPr>
            <w:tcW w:w="720" w:type="dxa"/>
            <w:tcBorders>
              <w:end w:val="single" w:sz="6" w:space="0" w:color="000000"/>
            </w:tcBorders>
          </w:tcPr>
          <w:p>
            <w:pPr>
              <w:pStyle w:val="Normal"/>
              <w:snapToGrid w:val="false"/>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rPr/>
            </w:pPr>
            <w:r>
              <w:rPr/>
              <w:t>Pilon</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S. Arap</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gridSpan w:val="2"/>
            <w:tcBorders>
              <w:top w:val="single" w:sz="6" w:space="0" w:color="000000"/>
              <w:start w:val="single" w:sz="6" w:space="0" w:color="000000"/>
              <w:bottom w:val="single" w:sz="6" w:space="0" w:color="000000"/>
              <w:end w:val="single" w:sz="6" w:space="0" w:color="000000"/>
            </w:tcBorders>
          </w:tcPr>
          <w:p>
            <w:pPr>
              <w:pStyle w:val="Normal"/>
              <w:rPr/>
            </w:pPr>
            <w:r>
              <w:rPr/>
              <w:t>C. Brun</w:t>
            </w:r>
          </w:p>
          <w:p>
            <w:pPr>
              <w:pStyle w:val="Normal"/>
              <w:rPr/>
            </w:pPr>
            <w:r>
              <w:rPr/>
              <w:t>C. Marques</w:t>
            </w:r>
          </w:p>
          <w:p>
            <w:pPr>
              <w:pStyle w:val="Normal"/>
              <w:rPr/>
            </w:pPr>
            <w:r>
              <w:rPr/>
              <w:t>L. Henrique</w:t>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10-year PPA for the purchase of firm energy (including additional exceeding energy) from a sugar mill in Elektro’s territory, as well as investments in connection assets for the power to flow.  On Feb. 11, 2000, S Arap prepared a first draft PPA for internal comments.  On Feb. 18, 2000, first draft PPA delivered to C Brun.  On March 13, 2000, S Arap to review and modify draft PPA.  </w:t>
            </w:r>
            <w:r>
              <w:rPr>
                <w:b/>
              </w:rPr>
              <w:t>Draft PPA sent to Pilon on 3/15/00.  Waiting for Pilon’s reply.</w:t>
            </w:r>
          </w:p>
          <w:p>
            <w:pPr>
              <w:pStyle w:val="Header"/>
              <w:tabs>
                <w:tab w:val="clear" w:pos="4320"/>
                <w:tab w:val="clear" w:pos="8640"/>
              </w:tabs>
              <w:rPr>
                <w:b/>
              </w:rPr>
            </w:pPr>
            <w:r>
              <w:rPr>
                <w:b/>
              </w:rPr>
            </w:r>
          </w:p>
        </w:tc>
        <w:tc>
          <w:tcPr>
            <w:tcW w:w="3630" w:type="dxa"/>
            <w:gridSpan w:val="2"/>
            <w:tcBorders/>
            <w:tcMar>
              <w:start w:w="0" w:type="dxa"/>
              <w:end w:w="0" w:type="dxa"/>
            </w:tcMar>
          </w:tcPr>
          <w:p>
            <w:pPr>
              <w:pStyle w:val="Normal"/>
              <w:snapToGrid w:val="false"/>
              <w:rPr/>
            </w:pPr>
            <w:r>
              <w:rPr/>
            </w:r>
          </w:p>
        </w:tc>
      </w:tr>
      <w:tr>
        <w:trPr>
          <w:trHeight w:val="60" w:hRule="atLeast"/>
        </w:trPr>
        <w:tc>
          <w:tcPr>
            <w:tcW w:w="720" w:type="dxa"/>
            <w:tcBorders>
              <w:end w:val="single" w:sz="6" w:space="0" w:color="000000"/>
            </w:tcBorders>
          </w:tcPr>
          <w:p>
            <w:pPr>
              <w:pStyle w:val="Normal"/>
              <w:snapToGrid w:val="false"/>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rPr/>
            </w:pPr>
            <w:r>
              <w:rPr/>
              <w:t>Santa Laura</w:t>
            </w:r>
          </w:p>
          <w:p>
            <w:pPr>
              <w:pStyle w:val="Normal"/>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S. Arap</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gridSpan w:val="2"/>
            <w:tcBorders>
              <w:top w:val="single" w:sz="6" w:space="0" w:color="000000"/>
              <w:start w:val="single" w:sz="6" w:space="0" w:color="000000"/>
              <w:bottom w:val="single" w:sz="6" w:space="0" w:color="000000"/>
              <w:end w:val="single" w:sz="6" w:space="0" w:color="000000"/>
            </w:tcBorders>
          </w:tcPr>
          <w:p>
            <w:pPr>
              <w:pStyle w:val="Normal"/>
              <w:rPr/>
            </w:pPr>
            <w:r>
              <w:rPr/>
              <w:t>C. Brun</w:t>
            </w:r>
          </w:p>
          <w:p>
            <w:pPr>
              <w:pStyle w:val="Normal"/>
              <w:rPr/>
            </w:pPr>
            <w:r>
              <w:rPr/>
              <w:t>I. Metzger</w:t>
            </w:r>
          </w:p>
          <w:p>
            <w:pPr>
              <w:pStyle w:val="Normal"/>
              <w:rPr/>
            </w:pPr>
            <w:r>
              <w:rPr/>
              <w:t>MI Granado</w:t>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Sami is preparing a CA to be executed with Engevix to obtain engineering info about the PCH.  </w:t>
            </w:r>
            <w:r>
              <w:rPr>
                <w:b/>
              </w:rPr>
              <w:t>On Feb. 11, 2000 Sami prepared and delivered the CA to Cp.</w:t>
            </w:r>
          </w:p>
          <w:p>
            <w:pPr>
              <w:pStyle w:val="Header"/>
              <w:tabs>
                <w:tab w:val="clear" w:pos="4320"/>
                <w:tab w:val="clear" w:pos="8640"/>
              </w:tabs>
              <w:rPr>
                <w:b/>
              </w:rPr>
            </w:pPr>
            <w:r>
              <w:rPr>
                <w:b/>
              </w:rPr>
            </w:r>
          </w:p>
        </w:tc>
        <w:tc>
          <w:tcPr>
            <w:tcW w:w="3630" w:type="dxa"/>
            <w:gridSpan w:val="2"/>
            <w:tcBorders/>
            <w:tcMar>
              <w:start w:w="0" w:type="dxa"/>
              <w:end w:w="0" w:type="dxa"/>
            </w:tcMar>
          </w:tcPr>
          <w:p>
            <w:pPr>
              <w:pStyle w:val="Normal"/>
              <w:snapToGrid w:val="false"/>
              <w:rPr>
                <w:b/>
              </w:rPr>
            </w:pPr>
            <w:r>
              <w:rPr>
                <w:b/>
              </w:rPr>
            </w:r>
          </w:p>
        </w:tc>
      </w:tr>
      <w:tr>
        <w:trPr>
          <w:trHeight w:val="60" w:hRule="atLeast"/>
        </w:trPr>
        <w:tc>
          <w:tcPr>
            <w:tcW w:w="720" w:type="dxa"/>
            <w:tcBorders>
              <w:end w:val="single" w:sz="6" w:space="0" w:color="000000"/>
            </w:tcBorders>
          </w:tcPr>
          <w:p>
            <w:pPr>
              <w:pStyle w:val="Normal"/>
              <w:snapToGrid w:val="false"/>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rPr/>
            </w:pPr>
            <w:r>
              <w:rPr/>
              <w:t>Bom Retiro</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S. Arap</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gridSpan w:val="2"/>
            <w:tcBorders>
              <w:top w:val="single" w:sz="6" w:space="0" w:color="000000"/>
              <w:start w:val="single" w:sz="6" w:space="0" w:color="000000"/>
              <w:bottom w:val="single" w:sz="6" w:space="0" w:color="000000"/>
              <w:end w:val="single" w:sz="6" w:space="0" w:color="000000"/>
            </w:tcBorders>
          </w:tcPr>
          <w:p>
            <w:pPr>
              <w:pStyle w:val="Normal"/>
              <w:rPr/>
            </w:pPr>
            <w:r>
              <w:rPr/>
              <w:t>C. Brun</w:t>
            </w:r>
          </w:p>
          <w:p>
            <w:pPr>
              <w:pStyle w:val="Normal"/>
              <w:rPr/>
            </w:pPr>
            <w:r>
              <w:rPr/>
              <w:t>I. Metzger</w:t>
            </w:r>
          </w:p>
          <w:p>
            <w:pPr>
              <w:pStyle w:val="Normal"/>
              <w:rPr/>
            </w:pPr>
            <w:r>
              <w:rPr/>
              <w:t>MI Granado</w:t>
            </w:r>
          </w:p>
          <w:p>
            <w:pPr>
              <w:pStyle w:val="Normal"/>
              <w:rPr/>
            </w:pPr>
            <w:r>
              <w:rPr/>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Sami is preparing a CA and a LOI to be executed with the owner of the PCH.  S Arap is finalizing the draft LOI for internal comments (waiting for Cp’s input).   Cp to review draft LOI on 3/28/00.  </w:t>
            </w:r>
            <w:r>
              <w:rPr>
                <w:b/>
              </w:rPr>
              <w:t>Non-binding technical and commercial proposal sent to Bom Retiro on 3/31/00.</w:t>
            </w:r>
          </w:p>
          <w:p>
            <w:pPr>
              <w:pStyle w:val="Header"/>
              <w:tabs>
                <w:tab w:val="clear" w:pos="4320"/>
                <w:tab w:val="clear" w:pos="8640"/>
              </w:tabs>
              <w:rPr>
                <w:b/>
              </w:rPr>
            </w:pPr>
            <w:r>
              <w:rPr>
                <w:b/>
              </w:rPr>
            </w:r>
          </w:p>
        </w:tc>
        <w:tc>
          <w:tcPr>
            <w:tcW w:w="3630" w:type="dxa"/>
            <w:gridSpan w:val="2"/>
            <w:tcBorders/>
            <w:tcMar>
              <w:start w:w="0" w:type="dxa"/>
              <w:end w:w="0" w:type="dxa"/>
            </w:tcMar>
          </w:tcPr>
          <w:p>
            <w:pPr>
              <w:pStyle w:val="Normal"/>
              <w:snapToGrid w:val="false"/>
              <w:rPr>
                <w:b/>
              </w:rPr>
            </w:pPr>
            <w:r>
              <w:rPr>
                <w:b/>
              </w:rPr>
            </w:r>
          </w:p>
        </w:tc>
      </w:tr>
      <w:tr>
        <w:trPr>
          <w:trHeight w:val="60" w:hRule="atLeast"/>
        </w:trPr>
        <w:tc>
          <w:tcPr>
            <w:tcW w:w="720" w:type="dxa"/>
            <w:tcBorders>
              <w:end w:val="single" w:sz="6" w:space="0" w:color="000000"/>
            </w:tcBorders>
          </w:tcPr>
          <w:p>
            <w:pPr>
              <w:pStyle w:val="Normal"/>
              <w:snapToGrid w:val="false"/>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rPr/>
            </w:pPr>
            <w:r>
              <w:rPr/>
              <w:t>VCP</w:t>
            </w:r>
          </w:p>
          <w:p>
            <w:pPr>
              <w:pStyle w:val="Normal"/>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S. Arap</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gridSpan w:val="2"/>
            <w:tcBorders>
              <w:top w:val="single" w:sz="6" w:space="0" w:color="000000"/>
              <w:start w:val="single" w:sz="6" w:space="0" w:color="000000"/>
              <w:bottom w:val="single" w:sz="6" w:space="0" w:color="000000"/>
              <w:end w:val="single" w:sz="6" w:space="0" w:color="000000"/>
            </w:tcBorders>
          </w:tcPr>
          <w:p>
            <w:pPr>
              <w:pStyle w:val="Normal"/>
              <w:rPr/>
            </w:pPr>
            <w:r>
              <w:rPr/>
              <w:t>M. Parodi</w:t>
            </w:r>
          </w:p>
          <w:p>
            <w:pPr>
              <w:pStyle w:val="Normal"/>
              <w:rPr/>
            </w:pPr>
            <w:r>
              <w:rPr/>
              <w:t>R. Lisboa</w:t>
            </w:r>
          </w:p>
          <w:p>
            <w:pPr>
              <w:pStyle w:val="Normal"/>
              <w:rPr/>
            </w:pPr>
            <w:r>
              <w:rPr/>
              <w:t>R. Collonges</w:t>
            </w:r>
          </w:p>
          <w:p>
            <w:pPr>
              <w:pStyle w:val="Normal"/>
              <w:rPr/>
            </w:pPr>
            <w:r>
              <w:rPr/>
              <w:t>MI Granado</w:t>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Purchase VCP’s energy assets and to develop a gas-fired power plant. (1) Under the 10-year asset monetization transaction, Enron plans to acquire, operate and maintain VCP’s energy assets.  The steam and electricity produced from the assets will be sold to VCP.  Payments will be made through monthly deliveries of fixed quantities of pulp.  Fixed quantities to be calculated on a long-term fixed pulp price.  (2) Enron also plans to build,own and operate a gas-fired power plant to be located inside VCP’s facilities.  Parties to execute a PPA and SSA. Presentation to VCP on Nov. 29, 1999.  LOI &amp; Term sheet delivered to VCP on Feb. 11, 2000.  Waiting for VCP’s approval to execute the LOI &amp; Term Sheet.  D Black, M Parodi and S Arap met on March 2, 2000 to define this deal as a priority.  S Arap to prepare a new draft LOI by March 3, 2000 and discuss it with M Parodi.  Cp to submit draft LOI to VCP on March 3, 2000.</w:t>
            </w:r>
            <w:r>
              <w:rPr>
                <w:b/>
              </w:rPr>
              <w:t xml:space="preserve">  </w:t>
            </w:r>
            <w:r>
              <w:rPr/>
              <w:t>Cp’s intention to start negotiations with VCP on the week of March 13, 2000.</w:t>
            </w:r>
            <w:r>
              <w:rPr>
                <w:b/>
              </w:rPr>
              <w:t xml:space="preserve"> </w:t>
            </w:r>
            <w:r>
              <w:rPr/>
              <w:t xml:space="preserve"> On 3/8 and 3/16 respectively, S Arap confirmed Tres Cochran (V&amp;E) and Eduardo Gurevich (Lacaz Martins) as outside counsel for the deal.  On 3/20, draft LOI sent to outside counsel for preliminary comments.  On 3/22, Enron and VCP to discuss insurance issues and limits of liability.  VCP agreed to exclude consequential damages and loss of profits from Enron’s liabilities.  Arnold &amp; Porter (broker) to assist Enron with the insurance policy discussions.  V&amp;E, Gurevich, Parodi and Sami to finalize draft LOI during a conference call on 3/28/00.  </w:t>
            </w:r>
            <w:r>
              <w:rPr>
                <w:b/>
              </w:rPr>
              <w:t>Final version of LOI sent to VCP on 3/31/00.</w:t>
            </w:r>
          </w:p>
          <w:p>
            <w:pPr>
              <w:pStyle w:val="Header"/>
              <w:tabs>
                <w:tab w:val="clear" w:pos="4320"/>
                <w:tab w:val="clear" w:pos="8640"/>
              </w:tabs>
              <w:rPr>
                <w:b/>
              </w:rPr>
            </w:pPr>
            <w:r>
              <w:rPr>
                <w:b/>
              </w:rPr>
            </w:r>
          </w:p>
        </w:tc>
        <w:tc>
          <w:tcPr>
            <w:tcW w:w="3630" w:type="dxa"/>
            <w:gridSpan w:val="2"/>
            <w:tcBorders/>
            <w:tcMar>
              <w:start w:w="0" w:type="dxa"/>
              <w:end w:w="0" w:type="dxa"/>
            </w:tcMar>
          </w:tcPr>
          <w:p>
            <w:pPr>
              <w:pStyle w:val="Normal"/>
              <w:snapToGrid w:val="false"/>
              <w:rPr>
                <w:b/>
              </w:rPr>
            </w:pPr>
            <w:r>
              <w:rPr>
                <w:b/>
              </w:rPr>
            </w:r>
          </w:p>
        </w:tc>
      </w:tr>
      <w:tr>
        <w:trPr>
          <w:trHeight w:val="60" w:hRule="atLeast"/>
        </w:trPr>
        <w:tc>
          <w:tcPr>
            <w:tcW w:w="720" w:type="dxa"/>
            <w:tcBorders>
              <w:end w:val="single" w:sz="6" w:space="0" w:color="000000"/>
            </w:tcBorders>
          </w:tcPr>
          <w:p>
            <w:pPr>
              <w:pStyle w:val="Normal"/>
              <w:snapToGrid w:val="false"/>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rPr/>
            </w:pPr>
            <w:r>
              <w:rPr/>
              <w:t>Nadir Figueiredo</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S. Arap</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gridSpan w:val="2"/>
            <w:tcBorders>
              <w:top w:val="single" w:sz="6" w:space="0" w:color="000000"/>
              <w:start w:val="single" w:sz="6" w:space="0" w:color="000000"/>
              <w:bottom w:val="single" w:sz="6" w:space="0" w:color="000000"/>
              <w:end w:val="single" w:sz="6" w:space="0" w:color="000000"/>
            </w:tcBorders>
          </w:tcPr>
          <w:p>
            <w:pPr>
              <w:pStyle w:val="Normal"/>
              <w:rPr/>
            </w:pPr>
            <w:r>
              <w:rPr/>
              <w:t>JC Guimarães</w:t>
            </w:r>
          </w:p>
          <w:p>
            <w:pPr>
              <w:pStyle w:val="Normal"/>
              <w:rPr/>
            </w:pPr>
            <w:r>
              <w:rPr/>
              <w:t>F Bacellar</w:t>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Outsourcing deal for Nadir Figueiredo’s facilities.  S Arap prepared 1-year Exclusivity and Confidentiality Agreement.  Agreement delivered to Nadir Figueiredo on 3/31/00.</w:t>
            </w:r>
          </w:p>
          <w:p>
            <w:pPr>
              <w:pStyle w:val="Header"/>
              <w:tabs>
                <w:tab w:val="clear" w:pos="4320"/>
                <w:tab w:val="clear" w:pos="8640"/>
              </w:tabs>
              <w:rPr>
                <w:b/>
              </w:rPr>
            </w:pPr>
            <w:r>
              <w:rPr>
                <w:b/>
              </w:rPr>
            </w:r>
          </w:p>
        </w:tc>
        <w:tc>
          <w:tcPr>
            <w:tcW w:w="3630" w:type="dxa"/>
            <w:gridSpan w:val="2"/>
            <w:tcBorders/>
            <w:tcMar>
              <w:start w:w="0" w:type="dxa"/>
              <w:end w:w="0" w:type="dxa"/>
            </w:tcMar>
          </w:tcPr>
          <w:p>
            <w:pPr>
              <w:pStyle w:val="Normal"/>
              <w:snapToGrid w:val="false"/>
              <w:rPr>
                <w:b/>
              </w:rPr>
            </w:pPr>
            <w:r>
              <w:rPr>
                <w:b/>
              </w:rPr>
            </w:r>
          </w:p>
        </w:tc>
      </w:tr>
      <w:tr>
        <w:trPr>
          <w:trHeight w:val="60" w:hRule="atLeast"/>
        </w:trPr>
        <w:tc>
          <w:tcPr>
            <w:tcW w:w="720" w:type="dxa"/>
            <w:tcBorders>
              <w:end w:val="single" w:sz="6" w:space="0" w:color="000000"/>
            </w:tcBorders>
          </w:tcPr>
          <w:p>
            <w:pPr>
              <w:pStyle w:val="Normal"/>
              <w:snapToGrid w:val="false"/>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rPr/>
            </w:pPr>
            <w:r>
              <w:rPr/>
              <w:t>ANP Round-2</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S. Arap</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gridSpan w:val="2"/>
            <w:tcBorders>
              <w:top w:val="single" w:sz="6" w:space="0" w:color="000000"/>
              <w:start w:val="single" w:sz="6" w:space="0" w:color="000000"/>
              <w:bottom w:val="single" w:sz="6" w:space="0" w:color="000000"/>
              <w:end w:val="single" w:sz="6" w:space="0" w:color="000000"/>
            </w:tcBorders>
          </w:tcPr>
          <w:p>
            <w:pPr>
              <w:pStyle w:val="Normal"/>
              <w:rPr/>
            </w:pPr>
            <w:r>
              <w:rPr/>
              <w:t>R. Waddell</w:t>
            </w:r>
          </w:p>
          <w:p>
            <w:pPr>
              <w:pStyle w:val="Normal"/>
              <w:rPr/>
            </w:pPr>
            <w:r>
              <w:rPr/>
              <w:t>G. Fox (EGEP)</w:t>
            </w:r>
          </w:p>
          <w:p>
            <w:pPr>
              <w:pStyle w:val="Normal"/>
              <w:rPr/>
            </w:pPr>
            <w:r>
              <w:rPr/>
              <w:t>S. Lima</w:t>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On Feb. 7, 2000, POA, CA and Letter of Presentation prepared and executed by R. Waddell.  On Feb. 9, 2000, S. Lima purchased ANP’s data package.  Docs sent to G Fox. </w:t>
            </w:r>
            <w:r>
              <w:rPr>
                <w:b/>
              </w:rPr>
              <w:t>[NO CHANGE]</w:t>
            </w:r>
          </w:p>
          <w:p>
            <w:pPr>
              <w:pStyle w:val="Header"/>
              <w:tabs>
                <w:tab w:val="clear" w:pos="4320"/>
                <w:tab w:val="clear" w:pos="8640"/>
              </w:tabs>
              <w:rPr>
                <w:b/>
              </w:rPr>
            </w:pPr>
            <w:r>
              <w:rPr>
                <w:b/>
              </w:rPr>
            </w:r>
          </w:p>
        </w:tc>
        <w:tc>
          <w:tcPr>
            <w:tcW w:w="3630" w:type="dxa"/>
            <w:gridSpan w:val="2"/>
            <w:tcBorders/>
            <w:tcMar>
              <w:start w:w="0" w:type="dxa"/>
              <w:end w:w="0" w:type="dxa"/>
            </w:tcMar>
          </w:tcPr>
          <w:p>
            <w:pPr>
              <w:pStyle w:val="Normal"/>
              <w:snapToGrid w:val="false"/>
              <w:rPr>
                <w:b/>
              </w:rPr>
            </w:pPr>
            <w:r>
              <w:rPr>
                <w:b/>
              </w:rPr>
            </w:r>
          </w:p>
        </w:tc>
      </w:tr>
      <w:tr>
        <w:trPr>
          <w:trHeight w:val="60" w:hRule="atLeast"/>
        </w:trPr>
        <w:tc>
          <w:tcPr>
            <w:tcW w:w="720" w:type="dxa"/>
            <w:tcBorders>
              <w:end w:val="single" w:sz="6" w:space="0" w:color="000000"/>
            </w:tcBorders>
          </w:tcPr>
          <w:p>
            <w:pPr>
              <w:pStyle w:val="Normal"/>
              <w:snapToGrid w:val="false"/>
              <w:rPr>
                <w:b/>
              </w:rPr>
            </w:pPr>
            <w:r>
              <w:rPr>
                <w:b/>
              </w:rPr>
            </w:r>
          </w:p>
        </w:tc>
        <w:tc>
          <w:tcPr>
            <w:tcW w:w="2880" w:type="dxa"/>
            <w:tcBorders>
              <w:top w:val="single" w:sz="6" w:space="0" w:color="000000"/>
              <w:start w:val="single" w:sz="6" w:space="0" w:color="000000"/>
              <w:bottom w:val="single" w:sz="6" w:space="0" w:color="000000"/>
              <w:end w:val="single" w:sz="6" w:space="0" w:color="000000"/>
            </w:tcBorders>
          </w:tcPr>
          <w:p>
            <w:pPr>
              <w:pStyle w:val="Normal"/>
              <w:rPr/>
            </w:pPr>
            <w:r>
              <w:rPr/>
              <w:t>Puerto Suarez and RioGen</w:t>
            </w:r>
          </w:p>
          <w:p>
            <w:pPr>
              <w:pStyle w:val="Normal"/>
              <w:rPr>
                <w:b/>
              </w:rPr>
            </w:pPr>
            <w:r>
              <w:rPr>
                <w:b/>
              </w:rPr>
              <w:t>(Transition Matter)</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J. Novak</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Skadden</w:t>
            </w:r>
          </w:p>
          <w:p>
            <w:pPr>
              <w:pStyle w:val="Normal"/>
              <w:rPr/>
            </w:pPr>
            <w:r>
              <w:rPr/>
              <w:t>MMSO</w:t>
            </w:r>
          </w:p>
          <w:p>
            <w:pPr>
              <w:pStyle w:val="Normal"/>
              <w:rPr/>
            </w:pPr>
            <w:r>
              <w:rPr/>
              <w:t>Guevara</w:t>
            </w:r>
          </w:p>
        </w:tc>
        <w:tc>
          <w:tcPr>
            <w:tcW w:w="1506" w:type="dxa"/>
            <w:gridSpan w:val="2"/>
            <w:tcBorders>
              <w:top w:val="single" w:sz="6" w:space="0" w:color="000000"/>
              <w:start w:val="single" w:sz="6" w:space="0" w:color="000000"/>
              <w:bottom w:val="single" w:sz="6" w:space="0" w:color="000000"/>
              <w:end w:val="single" w:sz="6" w:space="0" w:color="000000"/>
            </w:tcBorders>
          </w:tcPr>
          <w:p>
            <w:pPr>
              <w:pStyle w:val="Normal"/>
              <w:rPr/>
            </w:pPr>
            <w:r>
              <w:rPr/>
              <w:t>B. Wiggs</w:t>
            </w:r>
          </w:p>
          <w:p>
            <w:pPr>
              <w:pStyle w:val="Normal"/>
              <w:rPr/>
            </w:pPr>
            <w:r>
              <w:rPr/>
              <w:t>M. Parks</w:t>
            </w:r>
          </w:p>
          <w:p>
            <w:pPr>
              <w:pStyle w:val="Normal"/>
              <w:rPr/>
            </w:pPr>
            <w:r>
              <w:rPr/>
              <w:t>R. Lammers</w:t>
            </w:r>
          </w:p>
          <w:p>
            <w:pPr>
              <w:pStyle w:val="Normal"/>
              <w:rPr/>
            </w:pPr>
            <w:r>
              <w:rPr/>
              <w:t>G. Palhoto</w:t>
            </w:r>
          </w:p>
          <w:p>
            <w:pPr>
              <w:pStyle w:val="Normal"/>
              <w:rPr/>
            </w:pPr>
            <w:r>
              <w:rPr/>
              <w:t>R. Cunha</w:t>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b/>
              </w:rPr>
              <w:t xml:space="preserve">PS:  </w:t>
            </w:r>
            <w:r>
              <w:rPr/>
              <w:t xml:space="preserve">Assisting purchase of the and and finalizing the formation &amp; registration of the Bolivian companies (Asset Co and Gas Marketer).  </w:t>
            </w:r>
            <w:r>
              <w:rPr>
                <w:b/>
              </w:rPr>
              <w:t>TERMOGEN is registered in Bolivia; starting TERMOGEN’s transfer of shares process.  Finalizing registration of GASAMAZON with the Bolivian Tax Authorities.</w:t>
            </w:r>
          </w:p>
          <w:p>
            <w:pPr>
              <w:pStyle w:val="Normal"/>
              <w:rPr/>
            </w:pPr>
            <w:r>
              <w:rPr>
                <w:b/>
              </w:rPr>
              <w:t xml:space="preserve">RioGen:  </w:t>
            </w:r>
            <w:r>
              <w:rPr/>
              <w:t xml:space="preserve">Assisting purchase of the land and approval of the draft law for the creation Industrial District. </w:t>
            </w:r>
            <w:r>
              <w:rPr>
                <w:b/>
              </w:rPr>
              <w:t>Law was approved by the House of Representatives (Enron obtained all IPTU and ISS benefits for the project).</w:t>
            </w:r>
          </w:p>
          <w:p>
            <w:pPr>
              <w:pStyle w:val="Normal"/>
              <w:rPr>
                <w:b/>
              </w:rPr>
            </w:pPr>
            <w:r>
              <w:rPr>
                <w:b/>
              </w:rPr>
            </w:r>
          </w:p>
        </w:tc>
        <w:tc>
          <w:tcPr>
            <w:tcW w:w="3630"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b/>
              </w:rPr>
            </w:pPr>
            <w:r>
              <w:rPr>
                <w:b/>
              </w:rPr>
            </w:r>
          </w:p>
        </w:tc>
      </w:tr>
      <w:tr>
        <w:trPr>
          <w:trHeight w:val="60" w:hRule="atLeast"/>
        </w:trPr>
        <w:tc>
          <w:tcPr>
            <w:tcW w:w="720" w:type="dxa"/>
            <w:tcBorders>
              <w:end w:val="single" w:sz="6" w:space="0" w:color="000000"/>
            </w:tcBorders>
          </w:tcPr>
          <w:p>
            <w:pPr>
              <w:pStyle w:val="Normal"/>
              <w:snapToGrid w:val="false"/>
              <w:rPr>
                <w:b/>
              </w:rPr>
            </w:pPr>
            <w:r>
              <w:rPr>
                <w:b/>
              </w:rPr>
            </w:r>
          </w:p>
        </w:tc>
        <w:tc>
          <w:tcPr>
            <w:tcW w:w="2880" w:type="dxa"/>
            <w:tcBorders>
              <w:top w:val="single" w:sz="6" w:space="0" w:color="000000"/>
              <w:start w:val="single" w:sz="6" w:space="0" w:color="000000"/>
              <w:bottom w:val="single" w:sz="6" w:space="0" w:color="000000"/>
              <w:end w:val="single" w:sz="6" w:space="0" w:color="000000"/>
            </w:tcBorders>
          </w:tcPr>
          <w:p>
            <w:pPr>
              <w:pStyle w:val="Normal"/>
              <w:rPr/>
            </w:pPr>
            <w:r>
              <w:rPr/>
              <w:t>Camisea</w:t>
            </w:r>
          </w:p>
          <w:p>
            <w:pPr>
              <w:pStyle w:val="Normal"/>
              <w:rPr>
                <w:b/>
              </w:rPr>
            </w:pPr>
            <w:r>
              <w:rPr>
                <w:b/>
              </w:rPr>
              <w:t>(Transition Matter)</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L. Watanabe</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Rosseló</w:t>
            </w:r>
          </w:p>
          <w:p>
            <w:pPr>
              <w:pStyle w:val="Normal"/>
              <w:rPr/>
            </w:pPr>
            <w:r>
              <w:rPr/>
              <w:t>Clifford Chance</w:t>
            </w:r>
          </w:p>
        </w:tc>
        <w:tc>
          <w:tcPr>
            <w:tcW w:w="1506" w:type="dxa"/>
            <w:gridSpan w:val="2"/>
            <w:tcBorders>
              <w:top w:val="single" w:sz="6" w:space="0" w:color="000000"/>
              <w:start w:val="single" w:sz="6" w:space="0" w:color="000000"/>
              <w:bottom w:val="single" w:sz="6" w:space="0" w:color="000000"/>
              <w:end w:val="single" w:sz="6" w:space="0" w:color="000000"/>
            </w:tcBorders>
          </w:tcPr>
          <w:p>
            <w:pPr>
              <w:pStyle w:val="Normal"/>
              <w:rPr/>
            </w:pPr>
            <w:r>
              <w:rPr/>
              <w:t>P. Weidler</w:t>
            </w:r>
          </w:p>
          <w:p>
            <w:pPr>
              <w:pStyle w:val="Normal"/>
              <w:rPr/>
            </w:pPr>
            <w:r>
              <w:rPr/>
              <w:t>R. Pensotti</w:t>
            </w:r>
          </w:p>
          <w:p>
            <w:pPr>
              <w:pStyle w:val="Normal"/>
              <w:rPr/>
            </w:pPr>
            <w:r>
              <w:rPr/>
              <w:t>R. Hesje</w:t>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Transferred to Luiz Watanabe.</w:t>
            </w:r>
          </w:p>
        </w:tc>
        <w:tc>
          <w:tcPr>
            <w:tcW w:w="3630" w:type="dxa"/>
            <w:gridSpan w:val="2"/>
            <w:tcBorders/>
            <w:tcMar>
              <w:start w:w="0" w:type="dxa"/>
              <w:end w:w="0" w:type="dxa"/>
            </w:tcMar>
          </w:tcPr>
          <w:p>
            <w:pPr>
              <w:pStyle w:val="Normal"/>
              <w:snapToGrid w:val="false"/>
              <w:rPr>
                <w:b/>
              </w:rPr>
            </w:pPr>
            <w:r>
              <w:rPr>
                <w:b/>
              </w:rPr>
            </w:r>
          </w:p>
        </w:tc>
      </w:tr>
      <w:tr>
        <w:trPr>
          <w:trHeight w:val="60" w:hRule="atLeast"/>
        </w:trPr>
        <w:tc>
          <w:tcPr>
            <w:tcW w:w="720" w:type="dxa"/>
            <w:tcBorders>
              <w:end w:val="single" w:sz="6" w:space="0" w:color="000000"/>
            </w:tcBorders>
          </w:tcPr>
          <w:p>
            <w:pPr>
              <w:pStyle w:val="Normal"/>
              <w:snapToGrid w:val="false"/>
              <w:rPr/>
            </w:pPr>
            <w:r>
              <w:rPr/>
            </w:r>
          </w:p>
        </w:tc>
        <w:tc>
          <w:tcPr>
            <w:tcW w:w="2880" w:type="dxa"/>
            <w:tcBorders>
              <w:top w:val="single" w:sz="6" w:space="0" w:color="000000"/>
              <w:start w:val="single" w:sz="6" w:space="0" w:color="000000"/>
              <w:end w:val="single" w:sz="6" w:space="0" w:color="000000"/>
            </w:tcBorders>
          </w:tcPr>
          <w:p>
            <w:pPr>
              <w:pStyle w:val="Normal"/>
              <w:rPr/>
            </w:pPr>
            <w:r>
              <w:rPr/>
              <w:t>Itá</w:t>
            </w:r>
          </w:p>
          <w:p>
            <w:pPr>
              <w:pStyle w:val="Normal"/>
              <w:rPr>
                <w:b/>
              </w:rPr>
            </w:pPr>
            <w:r>
              <w:rPr>
                <w:b/>
              </w:rPr>
              <w:t>(Transition Matter)</w:t>
            </w:r>
          </w:p>
        </w:tc>
        <w:tc>
          <w:tcPr>
            <w:tcW w:w="1377" w:type="dxa"/>
            <w:tcBorders>
              <w:top w:val="single" w:sz="6" w:space="0" w:color="000000"/>
              <w:start w:val="single" w:sz="6" w:space="0" w:color="000000"/>
              <w:end w:val="single" w:sz="6" w:space="0" w:color="000000"/>
            </w:tcBorders>
          </w:tcPr>
          <w:p>
            <w:pPr>
              <w:pStyle w:val="Normal"/>
              <w:rPr/>
            </w:pPr>
            <w:r>
              <w:rPr/>
              <w:t>P. Porto</w:t>
            </w:r>
          </w:p>
          <w:p>
            <w:pPr>
              <w:pStyle w:val="Normal"/>
              <w:rPr/>
            </w:pPr>
            <w:r>
              <w:rPr/>
              <w:t>[J. Novak]</w:t>
            </w:r>
          </w:p>
        </w:tc>
        <w:tc>
          <w:tcPr>
            <w:tcW w:w="1377" w:type="dxa"/>
            <w:tcBorders>
              <w:top w:val="single" w:sz="6" w:space="0" w:color="000000"/>
              <w:start w:val="single" w:sz="6" w:space="0" w:color="000000"/>
              <w:end w:val="single" w:sz="6" w:space="0" w:color="000000"/>
            </w:tcBorders>
          </w:tcPr>
          <w:p>
            <w:pPr>
              <w:pStyle w:val="Normal"/>
              <w:snapToGrid w:val="false"/>
              <w:rPr/>
            </w:pPr>
            <w:r>
              <w:rPr/>
            </w:r>
          </w:p>
        </w:tc>
        <w:tc>
          <w:tcPr>
            <w:tcW w:w="1506" w:type="dxa"/>
            <w:gridSpan w:val="2"/>
            <w:tcBorders>
              <w:top w:val="single" w:sz="6" w:space="0" w:color="000000"/>
              <w:start w:val="single" w:sz="6" w:space="0" w:color="000000"/>
              <w:end w:val="single" w:sz="6" w:space="0" w:color="000000"/>
            </w:tcBorders>
          </w:tcPr>
          <w:p>
            <w:pPr>
              <w:pStyle w:val="Normal"/>
              <w:rPr/>
            </w:pPr>
            <w:r>
              <w:rPr/>
              <w:t>B. Wiggs</w:t>
            </w:r>
          </w:p>
          <w:p>
            <w:pPr>
              <w:pStyle w:val="Normal"/>
              <w:rPr/>
            </w:pPr>
            <w:r>
              <w:rPr/>
              <w:t>R. Collonges</w:t>
            </w:r>
          </w:p>
          <w:p>
            <w:pPr>
              <w:pStyle w:val="Normal"/>
              <w:rPr/>
            </w:pPr>
            <w:r>
              <w:rPr/>
              <w:t>MI Granado</w:t>
            </w:r>
          </w:p>
          <w:p>
            <w:pPr>
              <w:pStyle w:val="Normal"/>
              <w:rPr/>
            </w:pPr>
            <w:r>
              <w:rPr/>
              <w:t>G. Atenor</w:t>
            </w:r>
          </w:p>
          <w:p>
            <w:pPr>
              <w:pStyle w:val="Normal"/>
              <w:rPr/>
            </w:pPr>
            <w:r>
              <w:rPr/>
              <w:t>G. Mulville</w:t>
            </w:r>
          </w:p>
        </w:tc>
        <w:tc>
          <w:tcPr>
            <w:tcW w:w="3600" w:type="dxa"/>
            <w:tcBorders>
              <w:top w:val="single" w:sz="6" w:space="0" w:color="000000"/>
              <w:start w:val="single" w:sz="6" w:space="0" w:color="000000"/>
              <w:end w:val="single" w:sz="6" w:space="0" w:color="000000"/>
            </w:tcBorders>
          </w:tcPr>
          <w:p>
            <w:pPr>
              <w:pStyle w:val="Header"/>
              <w:tabs>
                <w:tab w:val="clear" w:pos="4320"/>
                <w:tab w:val="clear" w:pos="8640"/>
              </w:tabs>
              <w:rPr/>
            </w:pPr>
            <w:r>
              <w:rPr/>
              <w:t xml:space="preserve">Assisting Originators to understand in detail all project agreements, especially the UHE Itá Concession Agreement, the Itá Consortium Agreement and the ITASA Shareholders Agreements.  On Feb. 23, 2000, S Arap met with G. Mulville and reviewed ECE’s proposal structure to Odebrecht.  </w:t>
            </w:r>
            <w:r>
              <w:rPr>
                <w:b/>
              </w:rPr>
              <w:t>Cp to meet with Odebrecht on Feb. 29, 2000.  Commercial people preparing a draft term sheet to deliver to Odebrecht shortly.</w:t>
            </w:r>
          </w:p>
          <w:p>
            <w:pPr>
              <w:pStyle w:val="Header"/>
              <w:tabs>
                <w:tab w:val="clear" w:pos="4320"/>
                <w:tab w:val="clear" w:pos="8640"/>
              </w:tabs>
              <w:rPr>
                <w:b/>
              </w:rPr>
            </w:pPr>
            <w:r>
              <w:rPr>
                <w:b/>
              </w:rPr>
            </w:r>
          </w:p>
        </w:tc>
        <w:tc>
          <w:tcPr>
            <w:tcW w:w="3630" w:type="dxa"/>
            <w:gridSpan w:val="2"/>
            <w:tcBorders/>
            <w:tcMar>
              <w:start w:w="0" w:type="dxa"/>
              <w:end w:w="0" w:type="dxa"/>
            </w:tcMar>
          </w:tcPr>
          <w:p>
            <w:pPr>
              <w:pStyle w:val="Normal"/>
              <w:snapToGrid w:val="false"/>
              <w:rPr>
                <w:b/>
              </w:rPr>
            </w:pPr>
            <w:r>
              <w:rPr>
                <w:b/>
              </w:rPr>
            </w:r>
          </w:p>
        </w:tc>
      </w:tr>
      <w:tr>
        <w:trPr>
          <w:trHeight w:val="60" w:hRule="atLeast"/>
        </w:trPr>
        <w:tc>
          <w:tcPr>
            <w:tcW w:w="720" w:type="dxa"/>
            <w:tcBorders>
              <w:end w:val="single" w:sz="6" w:space="0" w:color="000000"/>
            </w:tcBorders>
          </w:tcPr>
          <w:p>
            <w:pPr>
              <w:pStyle w:val="Normal"/>
              <w:snapToGrid w:val="false"/>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rPr/>
            </w:pPr>
            <w:r>
              <w:rPr/>
              <w:t>Dedini</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S. Arap</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gridSpan w:val="2"/>
            <w:tcBorders>
              <w:top w:val="single" w:sz="6" w:space="0" w:color="000000"/>
              <w:start w:val="single" w:sz="6" w:space="0" w:color="000000"/>
              <w:bottom w:val="single" w:sz="6" w:space="0" w:color="000000"/>
              <w:end w:val="single" w:sz="6" w:space="0" w:color="000000"/>
            </w:tcBorders>
          </w:tcPr>
          <w:p>
            <w:pPr>
              <w:pStyle w:val="Normal"/>
              <w:rPr/>
            </w:pPr>
            <w:r>
              <w:rPr/>
              <w:t>C. Brun</w:t>
            </w:r>
          </w:p>
          <w:p>
            <w:pPr>
              <w:pStyle w:val="Normal"/>
              <w:rPr/>
            </w:pPr>
            <w:r>
              <w:rPr/>
              <w:t>C. Marques</w:t>
            </w:r>
          </w:p>
          <w:p>
            <w:pPr>
              <w:pStyle w:val="Normal"/>
              <w:rPr/>
            </w:pPr>
            <w:r>
              <w:rPr/>
              <w:t>L. Henrique</w:t>
            </w:r>
          </w:p>
          <w:p>
            <w:pPr>
              <w:pStyle w:val="Normal"/>
              <w:rPr/>
            </w:pPr>
            <w:r>
              <w:rPr/>
              <w:t>MI Granado</w:t>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8-year PPA for the purchase of firm energy (including additional exceeding energy) from a sugar mill in Elektro’s territory, as well as investments in connection assets for the power to flow.  On Feb. 28, 2000, S Arap finalized first draft PPA.</w:t>
            </w:r>
            <w:r>
              <w:rPr>
                <w:b/>
              </w:rPr>
              <w:t xml:space="preserve">  Cp sent draft PPA to Dedini on Feb. 28, 2000.  Waiting for Dedini’s reply.</w:t>
            </w:r>
          </w:p>
          <w:p>
            <w:pPr>
              <w:pStyle w:val="Header"/>
              <w:tabs>
                <w:tab w:val="clear" w:pos="4320"/>
                <w:tab w:val="clear" w:pos="8640"/>
              </w:tabs>
              <w:rPr>
                <w:b/>
              </w:rPr>
            </w:pPr>
            <w:r>
              <w:rPr>
                <w:b/>
              </w:rPr>
            </w:r>
          </w:p>
        </w:tc>
        <w:tc>
          <w:tcPr>
            <w:tcW w:w="3630" w:type="dxa"/>
            <w:gridSpan w:val="2"/>
            <w:tcBorders/>
            <w:tcMar>
              <w:start w:w="0" w:type="dxa"/>
              <w:end w:w="0" w:type="dxa"/>
            </w:tcMar>
          </w:tcPr>
          <w:p>
            <w:pPr>
              <w:pStyle w:val="Normal"/>
              <w:snapToGrid w:val="false"/>
              <w:rPr/>
            </w:pPr>
            <w:r>
              <w:rPr/>
            </w:r>
          </w:p>
        </w:tc>
      </w:tr>
      <w:tr>
        <w:trPr>
          <w:trHeight w:val="60" w:hRule="atLeast"/>
        </w:trPr>
        <w:tc>
          <w:tcPr>
            <w:tcW w:w="720" w:type="dxa"/>
            <w:tcBorders>
              <w:end w:val="single" w:sz="6" w:space="0" w:color="000000"/>
            </w:tcBorders>
          </w:tcPr>
          <w:p>
            <w:pPr>
              <w:pStyle w:val="Normal"/>
              <w:snapToGrid w:val="false"/>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rPr/>
            </w:pPr>
            <w:r>
              <w:rPr/>
              <w:t>Cresciumal</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S. Arap</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gridSpan w:val="2"/>
            <w:tcBorders>
              <w:top w:val="single" w:sz="6" w:space="0" w:color="000000"/>
              <w:start w:val="single" w:sz="6" w:space="0" w:color="000000"/>
              <w:bottom w:val="single" w:sz="6" w:space="0" w:color="000000"/>
              <w:end w:val="single" w:sz="6" w:space="0" w:color="000000"/>
            </w:tcBorders>
          </w:tcPr>
          <w:p>
            <w:pPr>
              <w:pStyle w:val="Normal"/>
              <w:rPr/>
            </w:pPr>
            <w:r>
              <w:rPr/>
              <w:t>C. Brun</w:t>
            </w:r>
          </w:p>
          <w:p>
            <w:pPr>
              <w:pStyle w:val="Normal"/>
              <w:rPr/>
            </w:pPr>
            <w:r>
              <w:rPr/>
              <w:t>C. Marques</w:t>
            </w:r>
          </w:p>
          <w:p>
            <w:pPr>
              <w:pStyle w:val="Normal"/>
              <w:rPr/>
            </w:pPr>
            <w:r>
              <w:rPr/>
              <w:t>MI Granado</w:t>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8-year PPA for the purchase of firm energy (including additional exceeding energy) from a sugar mill in Elektro’s territory, as well as investments in connection assets for the power to flow. On Feb. 28, 2000, S Arap finalized the draft PPA.  Cp wants to send draft PPA to Cresciumal on Feb. 28, 2000.  </w:t>
            </w:r>
            <w:r>
              <w:rPr>
                <w:b/>
              </w:rPr>
              <w:t>Draft PPA sent to Cresciumal on Feb. 29, 2000.  Waiting for Cresciumal’s reply.</w:t>
            </w:r>
          </w:p>
          <w:p>
            <w:pPr>
              <w:pStyle w:val="Header"/>
              <w:tabs>
                <w:tab w:val="clear" w:pos="4320"/>
                <w:tab w:val="clear" w:pos="8640"/>
              </w:tabs>
              <w:rPr>
                <w:b/>
              </w:rPr>
            </w:pPr>
            <w:r>
              <w:rPr>
                <w:b/>
              </w:rPr>
            </w:r>
          </w:p>
        </w:tc>
        <w:tc>
          <w:tcPr>
            <w:tcW w:w="3630" w:type="dxa"/>
            <w:gridSpan w:val="2"/>
            <w:tcBorders/>
            <w:tcMar>
              <w:start w:w="0" w:type="dxa"/>
              <w:end w:w="0" w:type="dxa"/>
            </w:tcMar>
          </w:tcPr>
          <w:p>
            <w:pPr>
              <w:pStyle w:val="Normal"/>
              <w:snapToGrid w:val="false"/>
              <w:rPr/>
            </w:pPr>
            <w:r>
              <w:rPr/>
            </w:r>
          </w:p>
        </w:tc>
      </w:tr>
      <w:tr>
        <w:trPr>
          <w:trHeight w:val="60" w:hRule="atLeast"/>
        </w:trPr>
        <w:tc>
          <w:tcPr>
            <w:tcW w:w="720" w:type="dxa"/>
            <w:tcBorders>
              <w:start w:val="single" w:sz="4" w:space="0" w:color="000000"/>
              <w:end w:val="single" w:sz="6" w:space="0" w:color="000000"/>
            </w:tcBorders>
          </w:tcPr>
          <w:p>
            <w:pPr>
              <w:pStyle w:val="Normal"/>
              <w:snapToGrid w:val="false"/>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Heading1"/>
              <w:ind w:hanging="0" w:start="0"/>
              <w:rPr>
                <w:b w:val="false"/>
              </w:rPr>
            </w:pPr>
            <w:r>
              <w:rPr>
                <w:b w:val="false"/>
              </w:rPr>
              <w:t>Sadia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S. Arap</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476" w:type="dxa"/>
            <w:tcBorders>
              <w:top w:val="single" w:sz="6" w:space="0" w:color="000000"/>
              <w:start w:val="single" w:sz="6" w:space="0" w:color="000000"/>
              <w:bottom w:val="single" w:sz="6" w:space="0" w:color="000000"/>
              <w:end w:val="single" w:sz="6" w:space="0" w:color="000000"/>
            </w:tcBorders>
          </w:tcPr>
          <w:p>
            <w:pPr>
              <w:pStyle w:val="Normal"/>
              <w:rPr/>
            </w:pPr>
            <w:r>
              <w:rPr/>
              <w:t>S. Porter</w:t>
            </w:r>
          </w:p>
          <w:p>
            <w:pPr>
              <w:pStyle w:val="Normal"/>
              <w:rPr/>
            </w:pPr>
            <w:r>
              <w:rPr/>
              <w:t>D. Carroll</w:t>
            </w:r>
          </w:p>
          <w:p>
            <w:pPr>
              <w:pStyle w:val="Normal"/>
              <w:rPr/>
            </w:pPr>
            <w:r>
              <w:rPr/>
              <w:t>F. Bacellar</w:t>
            </w:r>
          </w:p>
          <w:p>
            <w:pPr>
              <w:pStyle w:val="Normal"/>
              <w:rPr/>
            </w:pPr>
            <w:r>
              <w:rPr/>
              <w:t>L. Baccaro</w:t>
            </w:r>
          </w:p>
        </w:tc>
        <w:tc>
          <w:tcPr>
            <w:tcW w:w="3630" w:type="dxa"/>
            <w:gridSpan w:val="2"/>
            <w:tcBorders>
              <w:top w:val="single" w:sz="6" w:space="0" w:color="000000"/>
              <w:start w:val="single" w:sz="6" w:space="0" w:color="000000"/>
              <w:bottom w:val="single" w:sz="6" w:space="0" w:color="000000"/>
              <w:end w:val="single" w:sz="4" w:space="0" w:color="000000"/>
            </w:tcBorders>
          </w:tcPr>
          <w:p>
            <w:pPr>
              <w:pStyle w:val="Header"/>
              <w:tabs>
                <w:tab w:val="clear" w:pos="4320"/>
                <w:tab w:val="clear" w:pos="8640"/>
              </w:tabs>
              <w:rPr/>
            </w:pPr>
            <w:r>
              <w:rPr/>
              <w:t>S. Arap to review non-binding proposal for 10-year energy management services to Sadia.  Cp wants to send proposal to Sadia by Feb. 29, 2000.</w:t>
            </w:r>
            <w:r>
              <w:rPr>
                <w:b/>
              </w:rPr>
              <w:t xml:space="preserve">  On March 3, 2000, Cp still working on draft proposal.</w:t>
            </w:r>
          </w:p>
          <w:p>
            <w:pPr>
              <w:pStyle w:val="Header"/>
              <w:tabs>
                <w:tab w:val="clear" w:pos="4320"/>
                <w:tab w:val="clear" w:pos="8640"/>
              </w:tabs>
              <w:rPr>
                <w:b/>
              </w:rPr>
            </w:pPr>
            <w:r>
              <w:rPr>
                <w:b/>
              </w:rPr>
            </w:r>
          </w:p>
        </w:tc>
        <w:tc>
          <w:tcPr>
            <w:tcW w:w="3630" w:type="dxa"/>
            <w:gridSpan w:val="2"/>
            <w:tcBorders/>
            <w:tcMar>
              <w:start w:w="0" w:type="dxa"/>
              <w:end w:w="0" w:type="dxa"/>
            </w:tcMar>
          </w:tcPr>
          <w:p>
            <w:pPr>
              <w:pStyle w:val="Normal"/>
              <w:snapToGrid w:val="false"/>
              <w:rPr>
                <w:b/>
              </w:rPr>
            </w:pPr>
            <w:r>
              <w:rPr>
                <w:b/>
              </w:rPr>
            </w:r>
          </w:p>
        </w:tc>
      </w:tr>
      <w:tr>
        <w:trPr>
          <w:trHeight w:val="60" w:hRule="atLeast"/>
        </w:trPr>
        <w:tc>
          <w:tcPr>
            <w:tcW w:w="720" w:type="dxa"/>
            <w:tcBorders>
              <w:start w:val="single" w:sz="4" w:space="0" w:color="000000"/>
              <w:end w:val="single" w:sz="6" w:space="0" w:color="000000"/>
            </w:tcBorders>
          </w:tcPr>
          <w:p>
            <w:pPr>
              <w:pStyle w:val="Normal"/>
              <w:snapToGrid w:val="false"/>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rPr/>
            </w:pPr>
            <w:r>
              <w:rPr/>
              <w:t>Belgo-Mineira (Sabará)</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S. Arap</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476" w:type="dxa"/>
            <w:tcBorders>
              <w:top w:val="single" w:sz="6" w:space="0" w:color="000000"/>
              <w:start w:val="single" w:sz="6" w:space="0" w:color="000000"/>
              <w:bottom w:val="single" w:sz="6" w:space="0" w:color="000000"/>
              <w:end w:val="single" w:sz="6" w:space="0" w:color="000000"/>
            </w:tcBorders>
          </w:tcPr>
          <w:p>
            <w:pPr>
              <w:pStyle w:val="Normal"/>
              <w:rPr/>
            </w:pPr>
            <w:r>
              <w:rPr/>
              <w:t>C Brun</w:t>
            </w:r>
          </w:p>
          <w:p>
            <w:pPr>
              <w:pStyle w:val="Normal"/>
              <w:rPr/>
            </w:pPr>
            <w:r>
              <w:rPr/>
              <w:t>JC Guimarães</w:t>
            </w:r>
          </w:p>
          <w:p>
            <w:pPr>
              <w:pStyle w:val="Normal"/>
              <w:rPr/>
            </w:pPr>
            <w:r>
              <w:rPr/>
              <w:t>M. Andrade</w:t>
            </w:r>
          </w:p>
          <w:p>
            <w:pPr>
              <w:pStyle w:val="Normal"/>
              <w:rPr/>
            </w:pPr>
            <w:r>
              <w:rPr/>
              <w:t>M. Grossmann</w:t>
            </w:r>
          </w:p>
        </w:tc>
        <w:tc>
          <w:tcPr>
            <w:tcW w:w="3630" w:type="dxa"/>
            <w:gridSpan w:val="2"/>
            <w:tcBorders>
              <w:top w:val="single" w:sz="6" w:space="0" w:color="000000"/>
              <w:start w:val="single" w:sz="6" w:space="0" w:color="000000"/>
              <w:bottom w:val="single" w:sz="6" w:space="0" w:color="000000"/>
              <w:end w:val="single" w:sz="4" w:space="0" w:color="000000"/>
            </w:tcBorders>
          </w:tcPr>
          <w:p>
            <w:pPr>
              <w:pStyle w:val="Header"/>
              <w:tabs>
                <w:tab w:val="clear" w:pos="4320"/>
                <w:tab w:val="clear" w:pos="8640"/>
              </w:tabs>
              <w:rPr/>
            </w:pPr>
            <w:r>
              <w:rPr/>
              <w:t xml:space="preserve">PPA for the purchase of the PCH’s off-peak energy.  S. Arap prepared first draft PPA and delivered it to Cp on March 2, 2000.  CP wants to send first draft to Belgo by March 10, 2000.  </w:t>
            </w:r>
            <w:r>
              <w:rPr>
                <w:b/>
              </w:rPr>
              <w:t>[On Hold]</w:t>
            </w:r>
          </w:p>
          <w:p>
            <w:pPr>
              <w:pStyle w:val="Header"/>
              <w:tabs>
                <w:tab w:val="clear" w:pos="4320"/>
                <w:tab w:val="clear" w:pos="8640"/>
              </w:tabs>
              <w:rPr>
                <w:b/>
              </w:rPr>
            </w:pPr>
            <w:r>
              <w:rPr>
                <w:b/>
              </w:rPr>
            </w:r>
          </w:p>
        </w:tc>
        <w:tc>
          <w:tcPr>
            <w:tcW w:w="3630" w:type="dxa"/>
            <w:gridSpan w:val="2"/>
            <w:tcBorders/>
            <w:tcMar>
              <w:start w:w="0" w:type="dxa"/>
              <w:end w:w="0" w:type="dxa"/>
            </w:tcMar>
          </w:tcPr>
          <w:p>
            <w:pPr>
              <w:pStyle w:val="Normal"/>
              <w:snapToGrid w:val="false"/>
              <w:rPr>
                <w:b/>
              </w:rPr>
            </w:pPr>
            <w:r>
              <w:rPr>
                <w:b/>
              </w:rPr>
            </w:r>
          </w:p>
        </w:tc>
      </w:tr>
      <w:tr>
        <w:trPr>
          <w:trHeight w:val="60" w:hRule="atLeast"/>
        </w:trPr>
        <w:tc>
          <w:tcPr>
            <w:tcW w:w="720" w:type="dxa"/>
            <w:tcBorders>
              <w:start w:val="single" w:sz="4" w:space="0" w:color="000000"/>
              <w:end w:val="single" w:sz="6" w:space="0" w:color="000000"/>
            </w:tcBorders>
          </w:tcPr>
          <w:p>
            <w:pPr>
              <w:pStyle w:val="Normal"/>
              <w:snapToGrid w:val="false"/>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rPr/>
            </w:pPr>
            <w:r>
              <w:rPr/>
              <w:t>Samarco (Muniz Freire)</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S. Arap</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476" w:type="dxa"/>
            <w:tcBorders>
              <w:top w:val="single" w:sz="6" w:space="0" w:color="000000"/>
              <w:start w:val="single" w:sz="6" w:space="0" w:color="000000"/>
              <w:bottom w:val="single" w:sz="6" w:space="0" w:color="000000"/>
              <w:end w:val="single" w:sz="6" w:space="0" w:color="000000"/>
            </w:tcBorders>
          </w:tcPr>
          <w:p>
            <w:pPr>
              <w:pStyle w:val="Normal"/>
              <w:rPr/>
            </w:pPr>
            <w:r>
              <w:rPr/>
              <w:t>C Brun</w:t>
            </w:r>
          </w:p>
          <w:p>
            <w:pPr>
              <w:pStyle w:val="Normal"/>
              <w:rPr/>
            </w:pPr>
            <w:r>
              <w:rPr/>
              <w:t>JC Guimarães</w:t>
            </w:r>
          </w:p>
          <w:p>
            <w:pPr>
              <w:pStyle w:val="Normal"/>
              <w:rPr/>
            </w:pPr>
            <w:r>
              <w:rPr/>
              <w:t>M. Andrade</w:t>
            </w:r>
          </w:p>
          <w:p>
            <w:pPr>
              <w:pStyle w:val="Normal"/>
              <w:rPr/>
            </w:pPr>
            <w:r>
              <w:rPr/>
              <w:t>M. Grossmann</w:t>
            </w:r>
          </w:p>
        </w:tc>
        <w:tc>
          <w:tcPr>
            <w:tcW w:w="3630" w:type="dxa"/>
            <w:gridSpan w:val="2"/>
            <w:tcBorders>
              <w:top w:val="single" w:sz="6" w:space="0" w:color="000000"/>
              <w:start w:val="single" w:sz="6" w:space="0" w:color="000000"/>
              <w:bottom w:val="single" w:sz="6" w:space="0" w:color="000000"/>
              <w:end w:val="single" w:sz="4" w:space="0" w:color="000000"/>
            </w:tcBorders>
          </w:tcPr>
          <w:p>
            <w:pPr>
              <w:pStyle w:val="Header"/>
              <w:tabs>
                <w:tab w:val="clear" w:pos="4320"/>
                <w:tab w:val="clear" w:pos="8640"/>
              </w:tabs>
              <w:rPr/>
            </w:pPr>
            <w:r>
              <w:rPr/>
              <w:t>ECE to offer hydrological risk management services through entering into a PPA with Samarco.</w:t>
            </w:r>
            <w:r>
              <w:rPr>
                <w:b/>
              </w:rPr>
              <w:t xml:space="preserve">  </w:t>
            </w:r>
            <w:r>
              <w:rPr/>
              <w:t xml:space="preserve">S. Arap to review Cp’s draft proposal by March 17, 2000.  </w:t>
            </w:r>
            <w:r>
              <w:rPr>
                <w:b/>
              </w:rPr>
              <w:t>On hold; waiting for Belgo’s confirmation to enter into the PPA.</w:t>
            </w:r>
          </w:p>
          <w:p>
            <w:pPr>
              <w:pStyle w:val="Header"/>
              <w:tabs>
                <w:tab w:val="clear" w:pos="4320"/>
                <w:tab w:val="clear" w:pos="8640"/>
              </w:tabs>
              <w:rPr>
                <w:b/>
              </w:rPr>
            </w:pPr>
            <w:r>
              <w:rPr>
                <w:b/>
              </w:rPr>
            </w:r>
          </w:p>
        </w:tc>
        <w:tc>
          <w:tcPr>
            <w:tcW w:w="3630" w:type="dxa"/>
            <w:gridSpan w:val="2"/>
            <w:tcBorders/>
            <w:tcMar>
              <w:start w:w="0" w:type="dxa"/>
              <w:end w:w="0" w:type="dxa"/>
            </w:tcMar>
          </w:tcPr>
          <w:p>
            <w:pPr>
              <w:pStyle w:val="Normal"/>
              <w:snapToGrid w:val="false"/>
              <w:rPr>
                <w:b/>
              </w:rPr>
            </w:pPr>
            <w:r>
              <w:rPr>
                <w:b/>
              </w:rPr>
            </w:r>
          </w:p>
        </w:tc>
      </w:tr>
      <w:tr>
        <w:trPr>
          <w:trHeight w:val="60" w:hRule="atLeast"/>
        </w:trPr>
        <w:tc>
          <w:tcPr>
            <w:tcW w:w="720" w:type="dxa"/>
            <w:tcBorders>
              <w:start w:val="single" w:sz="4" w:space="0" w:color="000000"/>
              <w:end w:val="single" w:sz="6" w:space="0" w:color="000000"/>
            </w:tcBorders>
          </w:tcPr>
          <w:p>
            <w:pPr>
              <w:pStyle w:val="Normal"/>
              <w:snapToGrid w:val="false"/>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rPr/>
            </w:pPr>
            <w:r>
              <w:rPr/>
              <w:t>Cisframa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S. Arap</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476" w:type="dxa"/>
            <w:tcBorders>
              <w:top w:val="single" w:sz="6" w:space="0" w:color="000000"/>
              <w:start w:val="single" w:sz="6" w:space="0" w:color="000000"/>
              <w:bottom w:val="single" w:sz="6" w:space="0" w:color="000000"/>
              <w:end w:val="single" w:sz="6" w:space="0" w:color="000000"/>
            </w:tcBorders>
          </w:tcPr>
          <w:p>
            <w:pPr>
              <w:pStyle w:val="Normal"/>
              <w:rPr/>
            </w:pPr>
            <w:r>
              <w:rPr/>
              <w:t>C Brun</w:t>
            </w:r>
          </w:p>
          <w:p>
            <w:pPr>
              <w:pStyle w:val="Normal"/>
              <w:rPr/>
            </w:pPr>
            <w:r>
              <w:rPr/>
              <w:t>M. Grossmann</w:t>
            </w:r>
          </w:p>
        </w:tc>
        <w:tc>
          <w:tcPr>
            <w:tcW w:w="3630" w:type="dxa"/>
            <w:gridSpan w:val="2"/>
            <w:tcBorders>
              <w:top w:val="single" w:sz="6" w:space="0" w:color="000000"/>
              <w:start w:val="single" w:sz="6" w:space="0" w:color="000000"/>
              <w:bottom w:val="single" w:sz="6" w:space="0" w:color="000000"/>
              <w:end w:val="single" w:sz="4" w:space="0" w:color="000000"/>
            </w:tcBorders>
          </w:tcPr>
          <w:p>
            <w:pPr>
              <w:pStyle w:val="Header"/>
              <w:tabs>
                <w:tab w:val="clear" w:pos="4320"/>
                <w:tab w:val="clear" w:pos="8640"/>
              </w:tabs>
              <w:rPr/>
            </w:pPr>
            <w:r>
              <w:rPr/>
              <w:t>ECE to finance the construction of a 3.5MW cogen firing Cisframa’s wood residue and enter into a PPA for 3MW (enery in excess).  S. Arap to review draft term sheet and prepare a draft PPA by 3/21.  Commercial terms and conditions agreed upon by the Parties on 3/24/00.  S Arap to finalize draft PPA by 3/29/00.</w:t>
            </w:r>
            <w:r>
              <w:rPr>
                <w:b/>
              </w:rPr>
              <w:t xml:space="preserve">  Draft PPA finalized on 3/29/00 and negotiated with Cisframa on 3/30/00.  Deal closed and PPA executed by both parties on 3/31/00.</w:t>
            </w:r>
          </w:p>
          <w:p>
            <w:pPr>
              <w:pStyle w:val="Header"/>
              <w:tabs>
                <w:tab w:val="clear" w:pos="4320"/>
                <w:tab w:val="clear" w:pos="8640"/>
              </w:tabs>
              <w:rPr>
                <w:b/>
              </w:rPr>
            </w:pPr>
            <w:r>
              <w:rPr>
                <w:b/>
              </w:rPr>
            </w:r>
          </w:p>
        </w:tc>
        <w:tc>
          <w:tcPr>
            <w:tcW w:w="3630" w:type="dxa"/>
            <w:gridSpan w:val="2"/>
            <w:tcBorders/>
            <w:tcMar>
              <w:start w:w="0" w:type="dxa"/>
              <w:end w:w="0" w:type="dxa"/>
            </w:tcMar>
          </w:tcPr>
          <w:p>
            <w:pPr>
              <w:pStyle w:val="Normal"/>
              <w:snapToGrid w:val="false"/>
              <w:rPr>
                <w:b/>
              </w:rPr>
            </w:pPr>
            <w:r>
              <w:rPr>
                <w:b/>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rPr>
    </w:pPr>
    <w:r>
      <w:rPr>
        <w:b/>
        <w:i/>
      </w:rPr>
      <w:t>Enron América do Sul Ltda.</w:t>
    </w:r>
  </w:p>
  <w:p>
    <w:pPr>
      <w:pStyle w:val="Header"/>
      <w:jc w:val="center"/>
      <w:rPr>
        <w:b/>
        <w:i/>
        <w:i/>
      </w:rPr>
    </w:pPr>
    <w:r>
      <w:rPr>
        <w:b/>
        <w:i/>
      </w:rPr>
      <w:t>Direct Sales – Energy Outsourcing</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360"/>
        </w:tabs>
        <w:ind w:start="360" w:hanging="360"/>
      </w:pPr>
      <w:rPr/>
    </w:lvl>
  </w:abstractNum>
  <w:abstractNum w:abstractNumId="3">
    <w:lvl w:ilvl="0">
      <w:start w:val="1"/>
      <w:numFmt w:val="upperLetter"/>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ind w:firstLine="90" w:start="252" w:end="0"/>
      <w:jc w:val="center"/>
      <w:outlineLvl w:val="1"/>
    </w:pPr>
    <w:rPr>
      <w:b/>
    </w:rPr>
  </w:style>
  <w:style w:type="paragraph" w:styleId="Heading3">
    <w:name w:val="heading 3"/>
    <w:basedOn w:val="Normal"/>
    <w:next w:val="Normal"/>
    <w:qFormat/>
    <w:pPr>
      <w:keepNext w:val="true"/>
      <w:numPr>
        <w:ilvl w:val="2"/>
        <w:numId w:val="1"/>
      </w:numPr>
      <w:outlineLvl w:val="2"/>
    </w:pPr>
    <w:rPr>
      <w:b/>
      <w:sz w:val="16"/>
    </w:rPr>
  </w:style>
  <w:style w:type="paragraph" w:styleId="Heading4">
    <w:name w:val="heading 4"/>
    <w:basedOn w:val="Normal"/>
    <w:next w:val="Normal"/>
    <w:qFormat/>
    <w:pPr>
      <w:keepNext w:val="true"/>
      <w:numPr>
        <w:ilvl w:val="3"/>
        <w:numId w:val="1"/>
      </w:numPr>
      <w:outlineLvl w:val="3"/>
    </w:pPr>
    <w:rPr>
      <w:b/>
      <w:color w:val="000000"/>
    </w:rPr>
  </w:style>
  <w:style w:type="character" w:styleId="WW8Num1z0">
    <w:name w:val="WW8Num1z0"/>
    <w:qFormat/>
    <w:rPr/>
  </w:style>
  <w:style w:type="character" w:styleId="WW8Num2z0">
    <w:name w:val="WW8Num2z0"/>
    <w:qFormat/>
    <w:rPr>
      <w:b w:val="false"/>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2000-04-03T12:12:00Z</dcterms:created>
  <dc:creator>ENRON</dc:creator>
  <dc:description/>
  <dc:language>en-CA</dc:language>
  <cp:lastModifiedBy>ENRON</cp:lastModifiedBy>
  <cp:lastPrinted>1999-11-30T10:05:00Z</cp:lastPrinted>
  <dcterms:modified xsi:type="dcterms:W3CDTF">2000-05-02T20:33:00Z</dcterms:modified>
  <cp:revision>9</cp:revision>
  <dc:subject/>
  <dc:title>TRADING / ARGENTINA</dc:title>
</cp:coreProperties>
</file>