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A—Participation Cap; Partial Exit Fees</w:t>
      </w:r>
    </w:p>
    <w:p>
      <w:pPr>
        <w:pStyle w:val="Normal"/>
        <w:rPr/>
      </w:pPr>
      <w:r>
        <w:rPr/>
      </w:r>
    </w:p>
    <w:p>
      <w:pPr>
        <w:pStyle w:val="Normal"/>
        <w:numPr>
          <w:ilvl w:val="0"/>
          <w:numId w:val="2"/>
        </w:numPr>
        <w:tabs>
          <w:tab w:val="clear" w:pos="720"/>
        </w:tabs>
        <w:ind w:hanging="360" w:start="360" w:end="0"/>
        <w:rPr/>
      </w:pPr>
      <w:r>
        <w:rPr/>
        <w:t>The Option constitutes a 12-month, interim program.</w:t>
      </w:r>
    </w:p>
    <w:p>
      <w:pPr>
        <w:pStyle w:val="Normal"/>
        <w:rPr/>
      </w:pPr>
      <w:r>
        <w:rPr/>
      </w:r>
    </w:p>
    <w:p>
      <w:pPr>
        <w:pStyle w:val="Normal"/>
        <w:numPr>
          <w:ilvl w:val="0"/>
          <w:numId w:val="2"/>
        </w:numPr>
        <w:tabs>
          <w:tab w:val="clear" w:pos="720"/>
        </w:tabs>
        <w:ind w:hanging="360" w:start="360" w:end="0"/>
        <w:rPr/>
      </w:pPr>
      <w:r>
        <w:rPr/>
        <w:t>Absent Legislation addressing Direct Access, the Commission would revisit the program after 12 months</w:t>
      </w:r>
    </w:p>
    <w:p>
      <w:pPr>
        <w:pStyle w:val="Normal"/>
        <w:rPr/>
      </w:pPr>
      <w:r>
        <w:rPr/>
      </w:r>
    </w:p>
    <w:p>
      <w:pPr>
        <w:pStyle w:val="Normal"/>
        <w:numPr>
          <w:ilvl w:val="0"/>
          <w:numId w:val="2"/>
        </w:numPr>
        <w:tabs>
          <w:tab w:val="clear" w:pos="720"/>
        </w:tabs>
        <w:ind w:hanging="360" w:start="360" w:end="0"/>
        <w:rPr/>
      </w:pPr>
      <w:r>
        <w:rPr/>
        <w:t>Utility customers who choose Direct Access are required to pay:</w:t>
      </w:r>
    </w:p>
    <w:p>
      <w:pPr>
        <w:pStyle w:val="Normal"/>
        <w:numPr>
          <w:ilvl w:val="1"/>
          <w:numId w:val="4"/>
        </w:numPr>
        <w:tabs>
          <w:tab w:val="clear" w:pos="720"/>
        </w:tabs>
        <w:ind w:hanging="360" w:start="720" w:end="0"/>
        <w:rPr/>
      </w:pPr>
      <w:r>
        <w:rPr/>
        <w:t>A dedicated rate component (DRC) to cover the customer’s share of the power purchased by DWR and financed from the General Fund (i.e., to cover the bond service).  The DRC would amortize the charges over a 10-15 year period.</w:t>
      </w:r>
    </w:p>
    <w:p>
      <w:pPr>
        <w:pStyle w:val="Normal"/>
        <w:numPr>
          <w:ilvl w:val="1"/>
          <w:numId w:val="4"/>
        </w:numPr>
        <w:tabs>
          <w:tab w:val="clear" w:pos="720"/>
        </w:tabs>
        <w:ind w:hanging="360" w:start="720" w:end="0"/>
        <w:rPr/>
      </w:pPr>
      <w:r>
        <w:rPr/>
        <w:t>A dedicated rate component to cover the utility’s procurement-related debts (i.e., commercial paper and other debt, QFs, other suppliers). The DRC would amortize the charges over a 10-15 year period.</w:t>
      </w:r>
    </w:p>
    <w:p>
      <w:pPr>
        <w:pStyle w:val="Normal"/>
        <w:rPr/>
      </w:pPr>
      <w:r>
        <w:rPr/>
      </w:r>
    </w:p>
    <w:p>
      <w:pPr>
        <w:pStyle w:val="Normal"/>
        <w:numPr>
          <w:ilvl w:val="0"/>
          <w:numId w:val="2"/>
        </w:numPr>
        <w:tabs>
          <w:tab w:val="clear" w:pos="720"/>
        </w:tabs>
        <w:ind w:hanging="360" w:start="360" w:end="0"/>
        <w:rPr/>
      </w:pPr>
      <w:r>
        <w:rPr/>
        <w:t>Utility customers who choose Direct Access are NOT required to pay:</w:t>
      </w:r>
    </w:p>
    <w:p>
      <w:pPr>
        <w:pStyle w:val="Normal"/>
        <w:numPr>
          <w:ilvl w:val="1"/>
          <w:numId w:val="1"/>
        </w:numPr>
        <w:tabs>
          <w:tab w:val="clear" w:pos="720"/>
        </w:tabs>
        <w:ind w:hanging="360" w:start="720" w:end="0"/>
        <w:rPr/>
      </w:pPr>
      <w:r>
        <w:rPr/>
        <w:t xml:space="preserve">Charges related to DWR’s long-term contracts.  </w:t>
      </w:r>
    </w:p>
    <w:p>
      <w:pPr>
        <w:pStyle w:val="Normal"/>
        <w:rPr/>
      </w:pPr>
      <w:r>
        <w:rPr/>
      </w:r>
    </w:p>
    <w:p>
      <w:pPr>
        <w:pStyle w:val="Normal"/>
        <w:numPr>
          <w:ilvl w:val="0"/>
          <w:numId w:val="2"/>
        </w:numPr>
        <w:tabs>
          <w:tab w:val="clear" w:pos="720"/>
        </w:tabs>
        <w:ind w:hanging="360" w:start="360" w:end="0"/>
        <w:rPr/>
      </w:pPr>
      <w:r>
        <w:rPr/>
        <w:t>Eligibility for Direct Access would be capped at DWR’s net short position for the 12-month period.</w:t>
      </w:r>
    </w:p>
    <w:p>
      <w:pPr>
        <w:pStyle w:val="Normal"/>
        <w:rPr/>
      </w:pPr>
      <w:r>
        <w:rPr/>
      </w:r>
    </w:p>
    <w:p>
      <w:pPr>
        <w:pStyle w:val="Normal"/>
        <w:numPr>
          <w:ilvl w:val="0"/>
          <w:numId w:val="2"/>
        </w:numPr>
        <w:tabs>
          <w:tab w:val="clear" w:pos="720"/>
        </w:tabs>
        <w:ind w:hanging="360" w:start="360" w:end="0"/>
        <w:rPr/>
      </w:pPr>
      <w:r>
        <w:rPr/>
        <w:t>End-users who are Direct Access customers as of the effective date of the Commission order would be eligible for Direct Access service during the 12-month period and would not count against the eligibility cap.</w:t>
      </w:r>
    </w:p>
    <w:p>
      <w:pPr>
        <w:pStyle w:val="Normal"/>
        <w:rPr/>
      </w:pPr>
      <w:r>
        <w:rPr/>
      </w:r>
    </w:p>
    <w:p>
      <w:pPr>
        <w:pStyle w:val="Normal"/>
        <w:numPr>
          <w:ilvl w:val="0"/>
          <w:numId w:val="2"/>
        </w:numPr>
        <w:tabs>
          <w:tab w:val="clear" w:pos="720"/>
        </w:tabs>
        <w:ind w:hanging="360" w:start="360" w:end="0"/>
        <w:rPr/>
      </w:pPr>
      <w:r>
        <w:rPr/>
        <w:t>Direct Access customers who never received procurement services from either the utility or DWR as of the effective date of the decision would be exempt from the DRC related to the bonds and the DRC related to the utility’s past procurement-related debt.</w:t>
      </w:r>
    </w:p>
    <w:p>
      <w:pPr>
        <w:pStyle w:val="Normal"/>
        <w:rPr/>
      </w:pPr>
      <w:r>
        <w:rPr/>
      </w:r>
    </w:p>
    <w:p>
      <w:pPr>
        <w:pStyle w:val="Normal"/>
        <w:numPr>
          <w:ilvl w:val="0"/>
          <w:numId w:val="2"/>
        </w:numPr>
        <w:tabs>
          <w:tab w:val="clear" w:pos="720"/>
        </w:tabs>
        <w:ind w:hanging="360" w:start="360" w:end="0"/>
        <w:rPr/>
      </w:pPr>
      <w:r>
        <w:rPr/>
        <w:t>Customers who were utility customers between January 17</w:t>
      </w:r>
      <w:r>
        <w:rPr>
          <w:vertAlign w:val="superscript"/>
        </w:rPr>
        <w:t>th</w:t>
      </w:r>
      <w:r>
        <w:rPr/>
        <w:t xml:space="preserve"> and the effective date of the Commission’s decision would pay their proportionate share of DWR’s procurement cost through the DRC related to the bonds.</w:t>
      </w:r>
    </w:p>
    <w:p>
      <w:pPr>
        <w:pStyle w:val="Normal"/>
        <w:rPr/>
      </w:pPr>
      <w:r>
        <w:rPr/>
      </w:r>
    </w:p>
    <w:p>
      <w:pPr>
        <w:pStyle w:val="Normal"/>
        <w:numPr>
          <w:ilvl w:val="0"/>
          <w:numId w:val="2"/>
        </w:numPr>
        <w:tabs>
          <w:tab w:val="clear" w:pos="720"/>
        </w:tabs>
        <w:ind w:hanging="360" w:start="360" w:end="0"/>
        <w:rPr/>
      </w:pPr>
      <w:r>
        <w:rPr/>
        <w:t>Customers who were utility customers at the time the utility incurred its procurement-related debts would pay their proportionate share of the utility’s procurement cost through the DRC related to the utility’s procurement-related debt.</w:t>
      </w:r>
      <w:r>
        <w:br w:type="page"/>
      </w:r>
    </w:p>
    <w:p>
      <w:pPr>
        <w:pStyle w:val="Normal"/>
        <w:rPr/>
      </w:pPr>
      <w:r>
        <w:rPr/>
      </w:r>
    </w:p>
    <w:p>
      <w:pPr>
        <w:pStyle w:val="Heading"/>
        <w:rPr/>
      </w:pPr>
      <w:r>
        <w:rPr/>
        <w:t>Option B—No Participation Cap; Exit Fees</w:t>
      </w:r>
    </w:p>
    <w:p>
      <w:pPr>
        <w:pStyle w:val="Normal"/>
        <w:rPr/>
      </w:pPr>
      <w:r>
        <w:rPr/>
      </w:r>
    </w:p>
    <w:p>
      <w:pPr>
        <w:pStyle w:val="Normal"/>
        <w:numPr>
          <w:ilvl w:val="0"/>
          <w:numId w:val="2"/>
        </w:numPr>
        <w:tabs>
          <w:tab w:val="clear" w:pos="720"/>
        </w:tabs>
        <w:ind w:hanging="360" w:start="360" w:end="0"/>
        <w:rPr/>
      </w:pPr>
      <w:r>
        <w:rPr/>
        <w:t>The Option constitutes a 12-month, interim program.</w:t>
      </w:r>
    </w:p>
    <w:p>
      <w:pPr>
        <w:pStyle w:val="Normal"/>
        <w:rPr/>
      </w:pPr>
      <w:r>
        <w:rPr/>
      </w:r>
    </w:p>
    <w:p>
      <w:pPr>
        <w:pStyle w:val="Normal"/>
        <w:numPr>
          <w:ilvl w:val="0"/>
          <w:numId w:val="2"/>
        </w:numPr>
        <w:tabs>
          <w:tab w:val="clear" w:pos="720"/>
        </w:tabs>
        <w:ind w:hanging="360" w:start="360" w:end="0"/>
        <w:rPr/>
      </w:pPr>
      <w:r>
        <w:rPr/>
        <w:t>Absent Legislation addressing Direct Access, the Commission would revisit the program after 12 months</w:t>
      </w:r>
    </w:p>
    <w:p>
      <w:pPr>
        <w:pStyle w:val="Normal"/>
        <w:rPr/>
      </w:pPr>
      <w:r>
        <w:rPr/>
      </w:r>
    </w:p>
    <w:p>
      <w:pPr>
        <w:pStyle w:val="Normal"/>
        <w:numPr>
          <w:ilvl w:val="0"/>
          <w:numId w:val="2"/>
        </w:numPr>
        <w:tabs>
          <w:tab w:val="clear" w:pos="720"/>
        </w:tabs>
        <w:ind w:hanging="360" w:start="360" w:end="0"/>
        <w:rPr/>
      </w:pPr>
      <w:r>
        <w:rPr/>
        <w:t>Utility customers who choose Direct Access are required to pay:</w:t>
      </w:r>
    </w:p>
    <w:p>
      <w:pPr>
        <w:pStyle w:val="Normal"/>
        <w:numPr>
          <w:ilvl w:val="1"/>
          <w:numId w:val="3"/>
        </w:numPr>
        <w:tabs>
          <w:tab w:val="clear" w:pos="720"/>
        </w:tabs>
        <w:ind w:hanging="360" w:start="720" w:end="0"/>
        <w:rPr/>
      </w:pPr>
      <w:r>
        <w:rPr/>
        <w:t>A dedicated rate component (DRC) to cover the customer’s share of the power purchased by DWR and financed from the General Fund (i.e., to cover the bond service). The DRC would amortize the charges over a 10-15 year period.</w:t>
      </w:r>
    </w:p>
    <w:p>
      <w:pPr>
        <w:pStyle w:val="Normal"/>
        <w:numPr>
          <w:ilvl w:val="1"/>
          <w:numId w:val="3"/>
        </w:numPr>
        <w:tabs>
          <w:tab w:val="clear" w:pos="720"/>
        </w:tabs>
        <w:ind w:hanging="360" w:start="720" w:end="0"/>
        <w:rPr/>
      </w:pPr>
      <w:r>
        <w:rPr/>
        <w:t>A DRC to cover the utility’s procurement-related debts (i.e., commercial paper and other debt, QFs, other suppliers). The DRC would amortize the charges over a 10-15 year period.</w:t>
      </w:r>
    </w:p>
    <w:p>
      <w:pPr>
        <w:pStyle w:val="Normal"/>
        <w:numPr>
          <w:ilvl w:val="1"/>
          <w:numId w:val="3"/>
        </w:numPr>
        <w:tabs>
          <w:tab w:val="clear" w:pos="720"/>
        </w:tabs>
        <w:ind w:hanging="360" w:start="720" w:end="0"/>
        <w:rPr/>
      </w:pPr>
      <w:r>
        <w:rPr/>
        <w:t xml:space="preserve">A DRC to cover the customer’s proportionate share of any above-market costs associated with DWR’s long-term contracts.  The DRC would amortize the charges over a 10-15 year period.  </w:t>
      </w:r>
    </w:p>
    <w:p>
      <w:pPr>
        <w:pStyle w:val="Normal"/>
        <w:numPr>
          <w:ilvl w:val="1"/>
          <w:numId w:val="3"/>
        </w:numPr>
        <w:tabs>
          <w:tab w:val="clear" w:pos="720"/>
        </w:tabs>
        <w:ind w:hanging="360" w:start="720" w:end="0"/>
        <w:rPr/>
      </w:pPr>
      <w:r>
        <w:rPr/>
        <w:t>Any reductions in DWR’s revenue requirement, including reductions due to contract renegotiation or contract termination, would be reflected in reductions to the customer’s DRC related DWR’s long-term contracts.</w:t>
      </w:r>
    </w:p>
    <w:p>
      <w:pPr>
        <w:pStyle w:val="Normal"/>
        <w:rPr/>
      </w:pPr>
      <w:r>
        <w:rPr/>
      </w:r>
    </w:p>
    <w:p>
      <w:pPr>
        <w:pStyle w:val="Normal"/>
        <w:numPr>
          <w:ilvl w:val="0"/>
          <w:numId w:val="2"/>
        </w:numPr>
        <w:tabs>
          <w:tab w:val="clear" w:pos="720"/>
        </w:tabs>
        <w:ind w:hanging="360" w:start="360" w:end="0"/>
        <w:rPr/>
      </w:pPr>
      <w:r>
        <w:rPr/>
        <w:t xml:space="preserve">Eligibility for Direct Access would not be capped, since all costs are covered under the respective DRCs. </w:t>
      </w:r>
    </w:p>
    <w:p>
      <w:pPr>
        <w:pStyle w:val="Normal"/>
        <w:rPr/>
      </w:pPr>
      <w:r>
        <w:rPr/>
      </w:r>
    </w:p>
    <w:p>
      <w:pPr>
        <w:pStyle w:val="Normal"/>
        <w:numPr>
          <w:ilvl w:val="0"/>
          <w:numId w:val="2"/>
        </w:numPr>
        <w:tabs>
          <w:tab w:val="clear" w:pos="720"/>
        </w:tabs>
        <w:ind w:hanging="360" w:start="360" w:end="0"/>
        <w:rPr/>
      </w:pPr>
      <w:r>
        <w:rPr/>
        <w:t>Direct Access customers who never received procurement services from either the utility or DWR would be exempt from the DRC related to the bonds, the DRC related to the utility’s past debt prior, and the DRC related to DWR’s long-term contracts</w:t>
      </w:r>
    </w:p>
    <w:p>
      <w:pPr>
        <w:pStyle w:val="Normal"/>
        <w:rPr/>
      </w:pPr>
      <w:r>
        <w:rPr/>
      </w:r>
    </w:p>
    <w:p>
      <w:pPr>
        <w:pStyle w:val="Normal"/>
        <w:numPr>
          <w:ilvl w:val="0"/>
          <w:numId w:val="2"/>
        </w:numPr>
        <w:tabs>
          <w:tab w:val="clear" w:pos="720"/>
        </w:tabs>
        <w:ind w:hanging="360" w:start="360" w:end="0"/>
        <w:rPr/>
      </w:pPr>
      <w:r>
        <w:rPr/>
        <w:t>Customers who were utility customers between January 17</w:t>
      </w:r>
      <w:r>
        <w:rPr>
          <w:vertAlign w:val="superscript"/>
        </w:rPr>
        <w:t>th</w:t>
      </w:r>
      <w:r>
        <w:rPr/>
        <w:t xml:space="preserve"> and the effective date of the Commission’s decision would pay their proportionate share of DWR’s procurement cost through the DRC related to the bonds.</w:t>
      </w:r>
    </w:p>
    <w:p>
      <w:pPr>
        <w:pStyle w:val="Normal"/>
        <w:rPr/>
      </w:pPr>
      <w:r>
        <w:rPr/>
      </w:r>
    </w:p>
    <w:p>
      <w:pPr>
        <w:pStyle w:val="Normal"/>
        <w:numPr>
          <w:ilvl w:val="0"/>
          <w:numId w:val="2"/>
        </w:numPr>
        <w:tabs>
          <w:tab w:val="clear" w:pos="720"/>
        </w:tabs>
        <w:ind w:hanging="360" w:start="360" w:end="0"/>
        <w:rPr/>
      </w:pPr>
      <w:r>
        <w:rPr/>
        <w:t>Customers who were utility customers at the time the utility incurred its procurement-related debts would pay their proportionate share of the utility’s procurement cost through the DRC related to the utility’s procurement-related debt.</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b/>
      <w:smallCap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2001-08-07T12:42:00Z</dcterms:created>
  <dc:creator>jdasovic</dc:creator>
  <dc:description/>
  <dc:language>en-CA</dc:language>
  <cp:lastModifiedBy>jdasovic</cp:lastModifiedBy>
  <cp:lastPrinted>2001-08-07T10:23:00Z</cp:lastPrinted>
  <dcterms:modified xsi:type="dcterms:W3CDTF">2001-08-07T13:06:00Z</dcterms:modified>
  <cp:revision>10</cp:revision>
  <dc:subject/>
  <dc:title>Option A—Participation Cap, Partial Exit Fees</dc:title>
</cp:coreProperties>
</file>