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rPr/>
      </w:pPr>
      <w:r>
        <w:rPr/>
        <w:t xml:space="preserve">p. 21, line 6,  strike subsection (c)  </w:t>
      </w:r>
    </w:p>
    <w:p>
      <w:pPr>
        <w:pStyle w:val="Normal"/>
        <w:jc w:val="center"/>
        <w:rPr/>
      </w:pPr>
      <w:r>
        <w:rPr/>
      </w:r>
    </w:p>
    <w:p>
      <w:pPr>
        <w:pStyle w:val="Normal"/>
        <w:jc w:val="center"/>
        <w:rPr/>
      </w:pPr>
      <w:r>
        <w:rPr/>
      </w:r>
    </w:p>
    <w:p>
      <w:pPr>
        <w:pStyle w:val="Normal"/>
        <w:rPr/>
      </w:pPr>
      <w:r>
        <w:rPr/>
        <w:t>P. 21, line 18, strike subsection (d)</w:t>
      </w:r>
    </w:p>
    <w:p>
      <w:pPr>
        <w:pStyle w:val="Normal"/>
        <w:rPr/>
      </w:pPr>
      <w:r>
        <w:rPr/>
      </w:r>
    </w:p>
    <w:p>
      <w:pPr>
        <w:pStyle w:val="Normal"/>
        <w:rPr/>
      </w:pPr>
      <w:r>
        <w:rPr/>
        <w:t>p.  21, line 21 strike Section 11</w:t>
      </w:r>
    </w:p>
    <w:p>
      <w:pPr>
        <w:pStyle w:val="Normal"/>
        <w:rPr/>
      </w:pPr>
      <w:r>
        <w:rPr/>
      </w:r>
    </w:p>
    <w:p>
      <w:pPr>
        <w:pStyle w:val="Normal"/>
        <w:rPr/>
      </w:pPr>
      <w:r>
        <w:rPr/>
        <w:t>P. 21, line 6 insert new subsection</w:t>
      </w:r>
    </w:p>
    <w:p>
      <w:pPr>
        <w:pStyle w:val="Normal"/>
        <w:rPr/>
      </w:pPr>
      <w:r>
        <w:rPr/>
      </w:r>
    </w:p>
    <w:p>
      <w:pPr>
        <w:pStyle w:val="BodyText"/>
        <w:rPr/>
      </w:pPr>
      <w:r>
        <w:rPr/>
        <w:tab/>
        <w:t>(c)  A retail customer may elect service from an alternate provider at any time, upon payment of a fee to the department equivalent to the department’s unpreventable cost of power procurement with the department that is directly attributable to that customer, as determined by the commission.  The commission shall implement this section in a manner that does not impose on end use customers who remain served by an electrical corporation any costs associated with the revenue requirements of the Department of Water Resources that are attributable to end use customers who have entered into direct transactions after July 12, 2001.  The commission shall also implement this section in a manner so that customers who entered into a direct transaction before July 12, 2001 are not responsible for costs associated with the ongoing revenue requirement of the Department of Water Resources power purchase contracts.  Amounts due pursuant to this subdivision, if any, may be payable in installments over a length equal to longest contract entered into by the department.</w:t>
      </w:r>
    </w:p>
    <w:p>
      <w:pPr>
        <w:pStyle w:val="Normal"/>
        <w:spacing w:lineRule="auto" w:line="360"/>
        <w:rPr>
          <w:i/>
          <w:i/>
          <w:iCs/>
        </w:rPr>
      </w:pPr>
      <w:r>
        <w:rPr>
          <w:i/>
          <w:iCs/>
        </w:rPr>
      </w:r>
    </w:p>
    <w:p>
      <w:pPr>
        <w:pStyle w:val="Normal"/>
        <w:spacing w:lineRule="auto" w:line="360"/>
        <w:rPr>
          <w:i/>
          <w:i/>
          <w:iCs/>
        </w:rPr>
      </w:pPr>
      <w:r>
        <w:rPr>
          <w:i/>
          <w:iCs/>
        </w:rPr>
        <w:tab/>
        <w:t xml:space="preserve">(d)  Any retail end use customer may elect to purchase power through a direct transaction during an open enrollment period without being subject to subdivision (c) above when the total load that could be served within the service territory of the electrical corporation through direct transactions is less than or equal to the difference between the total load within the service territory of the electrical corporation and the sum of that electrical corporation’s retained generation, electric corporation power purchase contracts in existence on the effective date of this section, and long term power purchase contracts procured by the Department to serve that electrical corporation’s customers. Twenty percent (20%) of the load available for direct transactions under this subdivision shall be set aside  for  residential and small commercial customers with peak loads less than or equal to 20 kW.  </w:t>
      </w:r>
    </w:p>
    <w:p>
      <w:pPr>
        <w:pStyle w:val="Normal"/>
        <w:spacing w:lineRule="auto" w:line="360"/>
        <w:rPr>
          <w:i/>
          <w:i/>
          <w:iCs/>
        </w:rPr>
      </w:pPr>
      <w:r>
        <w:rPr>
          <w:i/>
          <w:iCs/>
        </w:rPr>
        <w:tab/>
        <w:tab/>
        <w:t xml:space="preserve">(1) The Department shall submit information on its long term power purchase contracts to the Commission in a time frame which allows the Commission to meet its obligations under this subdivision.  Within 90 days after the effective date of this section, and every 6 months thereafter, the Commission shall determine and publish the load available for direct transactions which is not subject to subdivision (c). </w:t>
      </w:r>
    </w:p>
    <w:p>
      <w:pPr>
        <w:pStyle w:val="Normal"/>
        <w:spacing w:lineRule="auto" w:line="360"/>
        <w:rPr>
          <w:i/>
          <w:i/>
          <w:iCs/>
        </w:rPr>
      </w:pPr>
      <w:r>
        <w:rPr>
          <w:i/>
          <w:iCs/>
        </w:rPr>
        <w:tab/>
        <w:t>(2) Within 30 days after publishing the load available for direct transactions, the Commission shall conduct an open enrollment period.  Large commercial and industrial customers greater than 20 kW electing  to take service through direct transactions shall submit a notice to switch to the electrical corporation within 60 days after the available load is published.  Residential and small commercial customers less than or equal to 20 kW electing to take service through direct transactions shall submit a notice to switch to the electrical corporation within 180 days after the available load is published.  To the extent that the electrical corporation receives more notices to switch than the load available under this subsection, the notices shall be accepted on a first come first served basis  for the two classes of  customers.</w:t>
      </w:r>
    </w:p>
    <w:p>
      <w:pPr>
        <w:pStyle w:val="Normal"/>
        <w:spacing w:lineRule="auto" w:line="360"/>
        <w:rPr>
          <w:i/>
          <w:i/>
          <w:iCs/>
        </w:rPr>
      </w:pPr>
      <w:r>
        <w:rPr>
          <w:i/>
          <w:iCs/>
        </w:rPr>
      </w:r>
    </w:p>
    <w:p>
      <w:pPr>
        <w:pStyle w:val="Normal"/>
        <w:spacing w:lineRule="auto" w:line="360"/>
        <w:rPr>
          <w:i/>
          <w:i/>
          <w:iCs/>
        </w:rPr>
      </w:pPr>
      <w:r>
        <w:rPr>
          <w:i/>
          <w:iCs/>
        </w:rPr>
      </w:r>
    </w:p>
    <w:p>
      <w:pPr>
        <w:pStyle w:val="Normal"/>
        <w:spacing w:lineRule="auto" w:line="360"/>
        <w:rPr>
          <w:i/>
          <w:i/>
          <w:iCs/>
        </w:rPr>
      </w:pPr>
      <w:r>
        <w:rPr>
          <w:i/>
          <w:iCs/>
        </w:rPr>
      </w:r>
    </w:p>
    <w:p>
      <w:pPr>
        <w:pStyle w:val="Normal"/>
        <w:spacing w:lineRule="auto" w:line="360"/>
        <w:rPr>
          <w:i/>
          <w:i/>
          <w:iCs/>
        </w:rPr>
      </w:pPr>
      <w:r>
        <w:rPr>
          <w:i/>
          <w:iCs/>
        </w:rPr>
        <w:t>July 17, 2001</w:t>
      </w:r>
    </w:p>
    <w:p>
      <w:pPr>
        <w:pStyle w:val="Normal"/>
        <w:spacing w:lineRule="auto" w:line="360"/>
        <w:rPr>
          <w:i/>
          <w:i/>
          <w:iCs/>
        </w:rPr>
      </w:pPr>
      <w:r>
        <w:rPr>
          <w:i/>
          <w:iCs/>
        </w:rPr>
      </w:r>
    </w:p>
    <w:p>
      <w:pPr>
        <w:pStyle w:val="Normal"/>
        <w:spacing w:lineRule="auto" w:line="360"/>
        <w:rPr>
          <w:i/>
          <w:i/>
          <w:iCs/>
        </w:rPr>
      </w:pPr>
      <w:r>
        <w:rPr>
          <w:i/>
          <w:iCs/>
        </w:rPr>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2001-07-23T18:45:00Z</dcterms:created>
  <dc:creator>Karen Baker</dc:creator>
  <dc:description/>
  <dc:language>en-CA</dc:language>
  <cp:lastModifiedBy>smara</cp:lastModifiedBy>
  <cp:lastPrinted>2001-07-17T20:26:00Z</cp:lastPrinted>
  <dcterms:modified xsi:type="dcterms:W3CDTF">2001-07-23T18:45:00Z</dcterms:modified>
  <cp:revision>2</cp:revision>
  <dc:subject/>
  <dc:title>Direct Access Amendments to AB 82 XX </dc:title>
</cp:coreProperties>
</file>