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32"/>
        </w:rPr>
      </w:pPr>
      <w:r>
        <w:rPr>
          <w:sz w:val="32"/>
        </w:rPr>
      </w:r>
    </w:p>
    <w:p>
      <w:pPr>
        <w:pStyle w:val="Heading4"/>
        <w:ind w:hanging="0" w:start="0"/>
        <w:rPr>
          <w:sz w:val="32"/>
        </w:rPr>
      </w:pPr>
      <w:r>
        <w:rPr>
          <w:sz w:val="32"/>
        </w:rPr>
        <w:t>What People are Saying About Direct Access</w:t>
      </w:r>
    </w:p>
    <w:p>
      <w:pPr>
        <w:pStyle w:val="Normal"/>
        <w:rPr>
          <w:b/>
          <w:bCs/>
          <w:sz w:val="32"/>
        </w:rPr>
      </w:pPr>
      <w:r>
        <w:rPr>
          <w:b/>
          <w:bCs/>
          <w:sz w:val="32"/>
        </w:rPr>
      </w:r>
    </w:p>
    <w:p>
      <w:pPr>
        <w:pStyle w:val="Normal"/>
        <w:rPr/>
      </w:pPr>
      <w:r>
        <w:rPr>
          <w:b/>
          <w:bCs/>
        </w:rPr>
        <w:t>“</w:t>
      </w:r>
      <w:r>
        <w:rPr>
          <w:b/>
          <w:bCs/>
        </w:rPr>
        <w:t xml:space="preserve">Business may lose the right to cut their own deals with private power suppliers, and environmentally conscious consumers could be barred from shifting their business from utilities to renewable energy firms, unless the Legislature acts quickly to save the program.” – </w:t>
      </w:r>
      <w:r>
        <w:rPr>
          <w:b/>
          <w:bCs/>
          <w:i/>
          <w:iCs/>
        </w:rPr>
        <w:t>San Francisco Chronicle, June 24, 2001</w:t>
      </w:r>
    </w:p>
    <w:p>
      <w:pPr>
        <w:pStyle w:val="Normal"/>
        <w:rPr>
          <w:b/>
          <w:bCs/>
          <w:i/>
          <w:i/>
          <w:iCs/>
        </w:rPr>
      </w:pPr>
      <w:r>
        <w:rPr>
          <w:b/>
          <w:bCs/>
          <w:i/>
          <w:iCs/>
        </w:rPr>
      </w:r>
    </w:p>
    <w:p>
      <w:pPr>
        <w:pStyle w:val="Normal"/>
        <w:rPr>
          <w:b/>
          <w:bCs/>
        </w:rPr>
      </w:pPr>
      <w:r>
        <w:rPr>
          <w:b/>
          <w:bCs/>
        </w:rPr>
      </w:r>
    </w:p>
    <w:p>
      <w:pPr>
        <w:pStyle w:val="BodyText"/>
        <w:rPr/>
      </w:pPr>
      <w:r>
        <w:rPr/>
        <w:t>“</w:t>
      </w:r>
      <w:r>
        <w:rPr/>
        <w:t xml:space="preserve">If the PUC had made the decision to suspend direct access, that would have had a chilling effect on anything we want to do.” – </w:t>
      </w:r>
      <w:r>
        <w:rPr>
          <w:i/>
          <w:iCs/>
        </w:rPr>
        <w:t>Assembly Speaker Robert Hertzberg, June 27, 2001</w:t>
      </w:r>
    </w:p>
    <w:p>
      <w:pPr>
        <w:pStyle w:val="Normal"/>
        <w:rPr>
          <w:b/>
          <w:bCs/>
        </w:rPr>
      </w:pPr>
      <w:r>
        <w:rPr>
          <w:b/>
          <w:bCs/>
        </w:rPr>
      </w:r>
    </w:p>
    <w:p>
      <w:pPr>
        <w:pStyle w:val="Normal"/>
        <w:rPr>
          <w:b/>
          <w:bCs/>
        </w:rPr>
      </w:pPr>
      <w:r>
        <w:rPr>
          <w:b/>
          <w:bCs/>
        </w:rPr>
      </w:r>
    </w:p>
    <w:p>
      <w:pPr>
        <w:pStyle w:val="BodyText"/>
        <w:rPr/>
      </w:pPr>
      <w:r>
        <w:rPr/>
        <w:t>“</w:t>
      </w:r>
      <w:r>
        <w:rPr/>
        <w:t xml:space="preserve">Manufacturers live and die by the ability to cut costs.  If they have an opportunity to save money, we don’t feel there’s any reason that should be taken away.” -- </w:t>
      </w:r>
      <w:r>
        <w:rPr>
          <w:i/>
          <w:iCs/>
        </w:rPr>
        <w:t>Gino DiCaro, California Manufacturers and Technology Association, San Jose Mercury News, June 27, 2001</w:t>
      </w:r>
    </w:p>
    <w:p>
      <w:pPr>
        <w:pStyle w:val="Normal"/>
        <w:rPr>
          <w:b/>
          <w:bCs/>
          <w:i/>
          <w:i/>
          <w:iCs/>
        </w:rPr>
      </w:pPr>
      <w:r>
        <w:rPr>
          <w:b/>
          <w:bCs/>
          <w:i/>
          <w:iCs/>
        </w:rPr>
      </w:r>
    </w:p>
    <w:p>
      <w:pPr>
        <w:pStyle w:val="Normal"/>
        <w:rPr>
          <w:b/>
          <w:bCs/>
        </w:rPr>
      </w:pPr>
      <w:r>
        <w:rPr>
          <w:b/>
          <w:bCs/>
        </w:rPr>
      </w:r>
    </w:p>
    <w:p>
      <w:pPr>
        <w:pStyle w:val="Normal"/>
        <w:rPr/>
      </w:pPr>
      <w:r>
        <w:rPr>
          <w:b/>
          <w:bCs/>
        </w:rPr>
        <w:t>“</w:t>
      </w:r>
      <w:r>
        <w:rPr>
          <w:b/>
          <w:bCs/>
        </w:rPr>
        <w:t xml:space="preserve">Although they have never fled en masse to direct access, many businesses and institutions want to maintain direct access as an option, especially because it is uncertain whether the state’s power contracts will prove to be a bargain or a bust in the long run.” – </w:t>
      </w:r>
      <w:r>
        <w:rPr>
          <w:b/>
          <w:bCs/>
          <w:i/>
          <w:iCs/>
        </w:rPr>
        <w:t>Los Angeles Times</w:t>
      </w:r>
      <w:r>
        <w:rPr>
          <w:b/>
          <w:bCs/>
        </w:rPr>
        <w:t xml:space="preserve">, </w:t>
      </w:r>
      <w:r>
        <w:rPr>
          <w:b/>
          <w:bCs/>
          <w:i/>
          <w:iCs/>
        </w:rPr>
        <w:t>June 26, 2001</w:t>
      </w:r>
    </w:p>
    <w:p>
      <w:pPr>
        <w:pStyle w:val="Normal"/>
        <w:rPr>
          <w:b/>
          <w:bCs/>
          <w:i/>
          <w:i/>
          <w:iCs/>
        </w:rPr>
      </w:pPr>
      <w:r>
        <w:rPr>
          <w:b/>
          <w:bCs/>
          <w:i/>
          <w:iCs/>
        </w:rPr>
      </w:r>
    </w:p>
    <w:p>
      <w:pPr>
        <w:pStyle w:val="Normal"/>
        <w:rPr>
          <w:b/>
          <w:bCs/>
        </w:rPr>
      </w:pPr>
      <w:r>
        <w:rPr>
          <w:b/>
          <w:bCs/>
        </w:rPr>
      </w:r>
    </w:p>
    <w:p>
      <w:pPr>
        <w:pStyle w:val="BodyText"/>
        <w:rPr/>
      </w:pPr>
      <w:r>
        <w:rPr/>
        <w:t>“</w:t>
      </w:r>
      <w:r>
        <w:rPr/>
        <w:t xml:space="preserve">Direct access is what restructuring was about in the first place…. Without it, you no longer have restructuring.” – </w:t>
      </w:r>
      <w:r>
        <w:rPr>
          <w:i/>
          <w:iCs/>
        </w:rPr>
        <w:t>PUC Commissioner Richard Bilas, Los Angeles Times, June 27, 2001</w:t>
      </w:r>
    </w:p>
    <w:p>
      <w:pPr>
        <w:pStyle w:val="Normal"/>
        <w:rPr>
          <w:b/>
          <w:bCs/>
        </w:rPr>
      </w:pPr>
      <w:r>
        <w:rPr>
          <w:b/>
          <w:bCs/>
        </w:rPr>
      </w:r>
    </w:p>
    <w:p>
      <w:pPr>
        <w:pStyle w:val="Normal"/>
        <w:rPr>
          <w:b/>
          <w:bCs/>
        </w:rPr>
      </w:pPr>
      <w:r>
        <w:rPr>
          <w:b/>
          <w:bCs/>
        </w:rPr>
      </w:r>
    </w:p>
    <w:p>
      <w:pPr>
        <w:pStyle w:val="Normal"/>
        <w:rPr>
          <w:b/>
          <w:bCs/>
        </w:rPr>
      </w:pPr>
      <w:r>
        <w:rPr>
          <w:b/>
          <w:bCs/>
        </w:rPr>
        <w:t>“</w:t>
      </w:r>
      <w:r>
        <w:rPr>
          <w:b/>
          <w:bCs/>
        </w:rPr>
        <w:t xml:space="preserve">With significantly higher electric rates going into effect this month, choice is looking more attractive that ever to big businesses.  – </w:t>
      </w:r>
      <w:r>
        <w:rPr>
          <w:b/>
          <w:bCs/>
          <w:i/>
          <w:iCs/>
        </w:rPr>
        <w:t>San Jose Mercury News, June 27, 2001</w:t>
      </w:r>
    </w:p>
    <w:p>
      <w:pPr>
        <w:pStyle w:val="Normal"/>
        <w:rPr>
          <w:b/>
          <w:bCs/>
        </w:rPr>
      </w:pPr>
      <w:r>
        <w:rPr>
          <w:b/>
          <w:bCs/>
        </w:rPr>
      </w:r>
    </w:p>
    <w:p>
      <w:pPr>
        <w:pStyle w:val="BodyText"/>
        <w:rPr>
          <w:b w:val="false"/>
          <w:bCs w:val="false"/>
        </w:rPr>
      </w:pPr>
      <w:r>
        <w:rPr>
          <w:b w:val="false"/>
          <w:bCs w:val="false"/>
        </w:rPr>
      </w:r>
    </w:p>
    <w:p>
      <w:pPr>
        <w:pStyle w:val="Normal"/>
        <w:rPr>
          <w:b/>
          <w:bCs/>
        </w:rPr>
      </w:pPr>
      <w:r>
        <w:rPr>
          <w:b/>
          <w:bCs/>
        </w:rPr>
        <w:t>“</w:t>
      </w:r>
      <w:r>
        <w:rPr>
          <w:b/>
          <w:bCs/>
        </w:rPr>
        <w:t xml:space="preserve">Ultimately, the state should get out of the electricity business.  Keeping retail competition alive is one avenue of escape.” – </w:t>
      </w:r>
      <w:r>
        <w:rPr>
          <w:b/>
          <w:bCs/>
          <w:i/>
          <w:iCs/>
        </w:rPr>
        <w:t>San Jose Mercury News Editorial, June 27, 2001</w:t>
      </w:r>
    </w:p>
    <w:p>
      <w:pPr>
        <w:pStyle w:val="Normal"/>
        <w:rPr>
          <w:b/>
          <w:bCs/>
        </w:rPr>
      </w:pPr>
      <w:r>
        <w:rPr>
          <w:b/>
          <w:bCs/>
        </w:rPr>
      </w:r>
    </w:p>
    <w:p>
      <w:pPr>
        <w:pStyle w:val="Normal"/>
        <w:rPr/>
      </w:pPr>
      <w:r>
        <w:rPr/>
      </w:r>
    </w:p>
    <w:p>
      <w:pPr>
        <w:pStyle w:val="Normal"/>
        <w:rPr>
          <w:b/>
          <w:bCs/>
        </w:rPr>
      </w:pPr>
      <w:r>
        <w:rPr>
          <w:b/>
          <w:bCs/>
        </w:rPr>
        <w:t>“</w:t>
      </w:r>
      <w:r>
        <w:rPr>
          <w:b/>
          <w:bCs/>
        </w:rPr>
        <w:t xml:space="preserve">Deregulation always benefits people. If it doesn’t, you’ve got to rework it until it does. California should not abandon its effort to increase competition by allowing consumers more choices about where they get their power.”  </w:t>
      </w:r>
      <w:r>
        <w:rPr>
          <w:b/>
          <w:bCs/>
          <w:i/>
          <w:iCs/>
        </w:rPr>
        <w:t>– Patrick Wood, a member of the Federal Energy Regulatory commission and Bush’s liaison to the state on energy issues, June 28, 2001</w:t>
      </w:r>
    </w:p>
    <w:p>
      <w:pPr>
        <w:pStyle w:val="Normal"/>
        <w:rPr>
          <w:b/>
          <w:bCs/>
        </w:rPr>
      </w:pPr>
      <w:r>
        <w:rPr>
          <w:b/>
          <w:bCs/>
        </w:rPr>
      </w:r>
    </w:p>
    <w:p>
      <w:pPr>
        <w:pStyle w:val="Normal"/>
        <w:rPr>
          <w:b/>
          <w:bCs/>
        </w:rPr>
      </w:pPr>
      <w:r>
        <w:rPr>
          <w:b/>
          <w:bCs/>
        </w:rPr>
      </w:r>
    </w:p>
    <w:p>
      <w:pPr>
        <w:pStyle w:val="Normal"/>
        <w:rPr/>
      </w:pPr>
      <w:r>
        <w:rPr>
          <w:b/>
          <w:bCs/>
        </w:rPr>
        <w:t>“</w:t>
      </w:r>
      <w:r>
        <w:rPr>
          <w:b/>
          <w:bCs/>
        </w:rPr>
        <w:t xml:space="preserve">Southern California Edison must swallow some of its debt. Power generators and the state must renegotiate some of their long-term contracts so that the generators give back some of the bounty they reaped by market manipulation. And no consumer, big or small, should be allowed to avoid paying the true costs of the power they use.” – </w:t>
      </w:r>
      <w:r>
        <w:rPr>
          <w:b/>
          <w:bCs/>
          <w:i/>
          <w:iCs/>
        </w:rPr>
        <w:t>Sacramento Bee Editorial, July 18, 2001</w:t>
      </w:r>
    </w:p>
    <w:p>
      <w:pPr>
        <w:pStyle w:val="Normal"/>
        <w:jc w:val="center"/>
        <w:rPr>
          <w:b/>
          <w:bCs/>
          <w:i/>
          <w:i/>
          <w:iCs/>
        </w:rPr>
      </w:pPr>
      <w:r>
        <w:rPr>
          <w:b/>
          <w:bCs/>
          <w:i/>
          <w:iCs/>
        </w:rPr>
      </w:r>
    </w:p>
    <w:p>
      <w:pPr>
        <w:pStyle w:val="Normal"/>
        <w:jc w:val="center"/>
        <w:rPr>
          <w:b/>
          <w:bCs/>
        </w:rPr>
      </w:pPr>
      <w:r>
        <w:rPr>
          <w:b/>
          <w:bCs/>
        </w:rPr>
        <w:t>###</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i/>
      <w:iCs/>
    </w:rPr>
  </w:style>
  <w:style w:type="paragraph" w:styleId="Heading4">
    <w:name w:val="heading 4"/>
    <w:basedOn w:val="Normal"/>
    <w:next w:val="Normal"/>
    <w:qFormat/>
    <w:pPr>
      <w:keepNext w:val="true"/>
      <w:numPr>
        <w:ilvl w:val="3"/>
        <w:numId w:val="1"/>
      </w:numPr>
      <w:jc w:val="center"/>
      <w:outlineLvl w:val="3"/>
    </w:pPr>
    <w:rPr>
      <w:b/>
      <w:bCs/>
      <w:sz w:val="28"/>
    </w:rPr>
  </w:style>
  <w:style w:type="paragraph" w:styleId="Heading5">
    <w:name w:val="heading 5"/>
    <w:basedOn w:val="Normal"/>
    <w:next w:val="Normal"/>
    <w:qFormat/>
    <w:pPr>
      <w:keepNext w:val="true"/>
      <w:numPr>
        <w:ilvl w:val="4"/>
        <w:numId w:val="1"/>
      </w:numPr>
      <w:jc w:val="center"/>
      <w:outlineLvl w:val="4"/>
    </w:pPr>
    <w:rPr>
      <w:i/>
      <w:i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2001-07-20T21:24:00Z</dcterms:created>
  <dc:creator>npelton</dc:creator>
  <dc:description/>
  <dc:language>en-CA</dc:language>
  <cp:lastModifiedBy>npelton</cp:lastModifiedBy>
  <cp:lastPrinted>2001-07-20T16:54:00Z</cp:lastPrinted>
  <dcterms:modified xsi:type="dcterms:W3CDTF">2001-07-20T21:24:00Z</dcterms:modified>
  <cp:revision>2</cp:revision>
  <dc:subject/>
  <dc:title>San Francisco Chronicle</dc:title>
</cp:coreProperties>
</file>