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Arial" w:hAnsi="Arial" w:cs="Arial"/>
          <w:sz w:val="112"/>
        </w:rPr>
      </w:pPr>
      <w:r>
        <w:rPr>
          <w:rFonts w:cs="Arial" w:ascii="Arial" w:hAnsi="Arial"/>
          <w:color w:val="FF0000"/>
          <w:sz w:val="112"/>
        </w:rPr>
        <w:t>Legislative</w:t>
      </w:r>
      <w:r>
        <w:rPr>
          <w:rFonts w:cs="Arial" w:ascii="Arial" w:hAnsi="Arial"/>
          <w:b w:val="false"/>
          <w:bCs w:val="false"/>
          <w:sz w:val="112"/>
        </w:rPr>
        <w:t>Digest</w:t>
      </w:r>
    </w:p>
    <w:p>
      <w:pPr>
        <w:pStyle w:val="BodyText2"/>
        <w:jc w:val="center"/>
        <w:rPr>
          <w:i/>
          <w:i/>
          <w:iCs/>
          <w:sz w:val="28"/>
        </w:rPr>
      </w:pPr>
      <w:r>
        <w:rPr>
          <w:i/>
          <w:iCs/>
          <w:sz w:val="24"/>
        </w:rPr>
        <w:t>Keeping TXOGA’s Members Up To Date on State Government</w:t>
      </w:r>
    </w:p>
    <w:p>
      <w:pPr>
        <w:sectPr>
          <w:headerReference w:type="default" r:id="rId2"/>
          <w:headerReference w:type="first" r:id="rId3"/>
          <w:footerReference w:type="default" r:id="rId4"/>
          <w:footerReference w:type="first" r:id="rId5"/>
          <w:type w:val="nextPage"/>
          <w:pgSz w:w="12240" w:h="15840"/>
          <w:pgMar w:left="432" w:right="432" w:gutter="0" w:header="720" w:top="776" w:footer="720" w:bottom="776"/>
          <w:pgNumType w:fmt="decimal"/>
          <w:formProt w:val="false"/>
          <w:titlePg/>
          <w:textDirection w:val="lrTb"/>
          <w:docGrid w:type="default" w:linePitch="360" w:charSpace="0"/>
        </w:sectPr>
      </w:pPr>
    </w:p>
    <w:p>
      <w:pPr>
        <w:pStyle w:val="Heading1"/>
        <w:ind w:hanging="0" w:start="0"/>
        <w:jc w:val="both"/>
        <w:rPr>
          <w:b/>
          <w:bCs/>
          <w:i/>
          <w:i/>
          <w:iCs/>
          <w:smallCaps/>
          <w:color w:val="000000"/>
          <w:sz w:val="16"/>
        </w:rPr>
      </w:pPr>
      <w:r>
        <w:rPr>
          <w:b/>
          <w:bCs/>
          <w:i/>
          <w:iCs/>
          <w:smallCaps/>
          <w:color w:val="000000"/>
          <w:sz w:val="16"/>
        </w:rPr>
      </w:r>
    </w:p>
    <w:p>
      <w:pPr>
        <w:pStyle w:val="Heading1"/>
        <w:tabs>
          <w:tab w:val="clear" w:pos="720"/>
          <w:tab w:val="center" w:pos="5640" w:leader="none"/>
          <w:tab w:val="right" w:pos="10800" w:leader="none"/>
        </w:tabs>
        <w:ind w:hanging="0" w:start="600" w:end="576"/>
        <w:rPr>
          <w:sz w:val="24"/>
        </w:rPr>
      </w:pPr>
      <w:r>
        <mc:AlternateContent>
          <mc:Choice Requires="wps">
            <w:drawing>
              <wp:anchor behindDoc="0" distT="0" distB="0" distL="114935" distR="114935" simplePos="0" locked="0" layoutInCell="1" allowOverlap="1" relativeHeight="3">
                <wp:simplePos x="0" y="0"/>
                <wp:positionH relativeFrom="column">
                  <wp:posOffset>381000</wp:posOffset>
                </wp:positionH>
                <wp:positionV relativeFrom="paragraph">
                  <wp:posOffset>-2540</wp:posOffset>
                </wp:positionV>
                <wp:extent cx="6477000" cy="0"/>
                <wp:effectExtent l="0" t="9525" r="0" b="9525"/>
                <wp:wrapNone/>
                <wp:docPr id="1" name=""/>
                <a:graphic xmlns:a="http://schemas.openxmlformats.org/drawingml/2006/main">
                  <a:graphicData uri="http://schemas.microsoft.com/office/word/2010/wordprocessingShape">
                    <wps:wsp>
                      <wps:cNvSpPr/>
                      <wps:spPr>
                        <a:xfrm>
                          <a:off x="0" y="0"/>
                          <a:ext cx="647712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0pt,-0.2pt" to="539.95pt,-0.2pt" stroked="t" o:allowincell="f" style="position:absolute">
                <v:stroke color="black" weight="19080" joinstyle="miter" endcap="flat"/>
                <v:fill o:detectmouseclick="t" on="false"/>
                <w10:wrap type="none"/>
              </v:line>
            </w:pict>
          </mc:Fallback>
        </mc:AlternateContent>
      </w:r>
      <w:r>
        <w:rPr/>
        <w:t>77th Legislature</w:t>
        <w:tab/>
        <w:t>#8</w:t>
        <w:tab/>
        <w:t>MArch 2, 2001</w:t>
      </w:r>
    </w:p>
    <w:p>
      <w:pPr>
        <w:pStyle w:val="Normal"/>
        <w:jc w:val="both"/>
        <w:rPr>
          <w:sz w:val="18"/>
          <w:szCs w:val="22"/>
          <w:lang w:val="en-CA" w:eastAsia="en-CA"/>
        </w:rPr>
      </w:pPr>
      <w:r>
        <w:rPr>
          <w:sz w:val="18"/>
          <w:szCs w:val="22"/>
          <w:lang w:val="en-CA" w:eastAsia="en-CA"/>
        </w:rPr>
        <mc:AlternateContent>
          <mc:Choice Requires="wps">
            <w:drawing>
              <wp:anchor behindDoc="0" distT="0" distB="0" distL="114935" distR="114935" simplePos="0" locked="0" layoutInCell="1" allowOverlap="1" relativeHeight="2">
                <wp:simplePos x="0" y="0"/>
                <wp:positionH relativeFrom="column">
                  <wp:posOffset>381000</wp:posOffset>
                </wp:positionH>
                <wp:positionV relativeFrom="paragraph">
                  <wp:posOffset>9525</wp:posOffset>
                </wp:positionV>
                <wp:extent cx="6477000" cy="0"/>
                <wp:effectExtent l="0" t="9525" r="0" b="9525"/>
                <wp:wrapNone/>
                <wp:docPr id="2" name=""/>
                <a:graphic xmlns:a="http://schemas.openxmlformats.org/drawingml/2006/main">
                  <a:graphicData uri="http://schemas.microsoft.com/office/word/2010/wordprocessingShape">
                    <wps:wsp>
                      <wps:cNvSpPr/>
                      <wps:spPr>
                        <a:xfrm>
                          <a:off x="0" y="0"/>
                          <a:ext cx="647712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0pt,0.75pt" to="539.95pt,0.75pt" stroked="t" o:allowincell="f" style="position:absolute">
                <v:stroke color="black" weight="19080" joinstyle="miter" endcap="flat"/>
                <v:fill o:detectmouseclick="t" on="false"/>
                <w10:wrap type="none"/>
              </v:line>
            </w:pict>
          </mc:Fallback>
        </mc:AlternateContent>
      </w:r>
    </w:p>
    <w:p>
      <w:pPr>
        <w:sectPr>
          <w:type w:val="continuous"/>
          <w:pgSz w:w="12240" w:h="15840"/>
          <w:pgMar w:left="432" w:right="432" w:gutter="0" w:header="720" w:top="776" w:footer="720" w:bottom="776"/>
          <w:formProt w:val="false"/>
          <w:titlePg/>
          <w:textDirection w:val="lrTb"/>
          <w:docGrid w:type="default" w:linePitch="360" w:charSpace="0"/>
        </w:sectPr>
      </w:pPr>
    </w:p>
    <w:p>
      <w:pPr>
        <w:pStyle w:val="Bodytext1"/>
        <w:ind w:hanging="0" w:end="0"/>
        <w:jc w:val="center"/>
        <w:rPr>
          <w:rFonts w:ascii="Arial" w:hAnsi="Arial" w:cs="Arial"/>
          <w:color w:val="000000"/>
          <w:sz w:val="22"/>
          <w:szCs w:val="35"/>
        </w:rPr>
      </w:pPr>
      <w:r>
        <w:rPr>
          <w:rFonts w:cs="Arial" w:ascii="Arial" w:hAnsi="Arial"/>
          <w:color w:val="000000"/>
          <w:sz w:val="22"/>
          <w:szCs w:val="35"/>
        </w:rPr>
      </w:r>
    </w:p>
    <w:p>
      <w:pPr>
        <w:pStyle w:val="Bodytext1"/>
        <w:ind w:hanging="0" w:end="0"/>
        <w:jc w:val="center"/>
        <w:rPr>
          <w:rFonts w:ascii="Arial" w:hAnsi="Arial" w:cs="Arial"/>
          <w:color w:val="000000"/>
          <w:sz w:val="22"/>
          <w:szCs w:val="35"/>
        </w:rPr>
      </w:pPr>
      <w:r>
        <w:rPr>
          <w:rFonts w:cs="Arial" w:ascii="Arial" w:hAnsi="Arial"/>
          <w:color w:val="000000"/>
          <w:sz w:val="22"/>
          <w:szCs w:val="35"/>
        </w:rPr>
      </w:r>
    </w:p>
    <w:p>
      <w:pPr>
        <w:pStyle w:val="Bodytext1"/>
        <w:tabs>
          <w:tab w:val="clear" w:pos="720"/>
          <w:tab w:val="left" w:pos="360" w:leader="none"/>
        </w:tabs>
        <w:ind w:hanging="0" w:end="0"/>
        <w:jc w:val="center"/>
        <w:rPr>
          <w:rFonts w:ascii="Arial" w:hAnsi="Arial" w:cs="Arial"/>
          <w:sz w:val="22"/>
          <w:u w:val="single"/>
        </w:rPr>
      </w:pPr>
      <w:r>
        <w:rPr>
          <w:rFonts w:cs="Arial" w:ascii="Arial" w:hAnsi="Arial"/>
          <w:sz w:val="22"/>
          <w:u w:val="single"/>
        </w:rPr>
        <w:t>BILLS OF INTEREST</w:t>
      </w:r>
    </w:p>
    <w:p>
      <w:pPr>
        <w:pStyle w:val="Bodytext1"/>
        <w:tabs>
          <w:tab w:val="clear" w:pos="720"/>
          <w:tab w:val="left" w:pos="360" w:leader="none"/>
        </w:tabs>
        <w:ind w:hanging="0" w:end="0"/>
        <w:jc w:val="center"/>
        <w:rPr>
          <w:rFonts w:ascii="Gill Sans" w:hAnsi="Gill Sans" w:cs="Gill Sans"/>
          <w:sz w:val="10"/>
          <w:u w:val="single"/>
        </w:rPr>
      </w:pPr>
      <w:r>
        <w:rPr>
          <w:rFonts w:cs="Gill Sans" w:ascii="Gill Sans" w:hAnsi="Gill Sans"/>
          <w:sz w:val="10"/>
          <w:u w:val="single"/>
        </w:rPr>
      </w:r>
    </w:p>
    <w:p>
      <w:pPr>
        <w:pStyle w:val="Bodytext1"/>
        <w:tabs>
          <w:tab w:val="clear" w:pos="720"/>
          <w:tab w:val="left" w:pos="360" w:leader="none"/>
        </w:tabs>
        <w:ind w:hanging="0" w:end="0"/>
        <w:jc w:val="both"/>
        <w:rPr/>
      </w:pPr>
      <w:r>
        <w:rPr>
          <w:i/>
          <w:iCs/>
        </w:rPr>
        <w:tab/>
        <w:t>There are many bills which have been filed and are currently under consideration by the Legislature that have implications for the oil and gas industry.  The Association’s committees are monitoring all of them carefully.  In the remaining Digests during this 77</w:t>
      </w:r>
      <w:r>
        <w:rPr>
          <w:i/>
          <w:iCs/>
          <w:vertAlign w:val="superscript"/>
        </w:rPr>
        <w:t>th</w:t>
      </w:r>
      <w:r>
        <w:rPr>
          <w:i/>
          <w:iCs/>
        </w:rPr>
        <w:t xml:space="preserve"> regular session, we will draw your attention to the status of particular bills which TXOGA has favored for passage or defeat.  Any questions on pending legislation can be answered by calling the Association’s headquarters in Austin.</w:t>
      </w:r>
    </w:p>
    <w:p>
      <w:pPr>
        <w:pStyle w:val="Bodytext1"/>
        <w:tabs>
          <w:tab w:val="clear" w:pos="720"/>
          <w:tab w:val="left" w:pos="360" w:leader="none"/>
        </w:tabs>
        <w:ind w:hanging="0" w:end="0"/>
        <w:jc w:val="both"/>
        <w:rPr>
          <w:i/>
          <w:i/>
          <w:iCs/>
        </w:rPr>
      </w:pPr>
      <w:r>
        <w:rPr>
          <w:i/>
          <w:iCs/>
        </w:rPr>
      </w:r>
    </w:p>
    <w:p>
      <w:pPr>
        <w:pStyle w:val="BodyText3"/>
        <w:rPr>
          <w:b/>
          <w:bCs/>
        </w:rPr>
      </w:pPr>
      <w:r>
        <w:rPr>
          <w:b/>
          <w:bCs/>
        </w:rPr>
        <w:t>HB 2012/McCall</w:t>
      </w:r>
    </w:p>
    <w:p>
      <w:pPr>
        <w:pStyle w:val="BodyText3"/>
        <w:ind w:firstLine="720" w:end="0"/>
        <w:rPr/>
      </w:pPr>
      <w:r>
        <w:rPr>
          <w:b/>
          <w:bCs/>
        </w:rPr>
        <w:t>SAME AS SB 640.</w:t>
      </w:r>
      <w:r>
        <w:rPr/>
        <w:t xml:space="preserve">  Relating to electronic filing of certain tax reports and payments.  02-26-01 Referred to the House Ways and Means Committee.</w:t>
      </w:r>
    </w:p>
    <w:p>
      <w:pPr>
        <w:pStyle w:val="BodyText3"/>
        <w:rPr/>
      </w:pPr>
      <w:r>
        <w:rPr/>
      </w:r>
    </w:p>
    <w:p>
      <w:pPr>
        <w:pStyle w:val="BodyText3"/>
        <w:rPr>
          <w:b/>
          <w:bCs/>
        </w:rPr>
      </w:pPr>
      <w:r>
        <w:rPr>
          <w:b/>
          <w:bCs/>
        </w:rPr>
        <w:t>HB 2021/Isett</w:t>
      </w:r>
    </w:p>
    <w:p>
      <w:pPr>
        <w:pStyle w:val="BodyText3"/>
        <w:ind w:firstLine="720" w:end="0"/>
        <w:rPr/>
      </w:pPr>
      <w:r>
        <w:rPr/>
        <w:t xml:space="preserve">Relating to the ad valorem tax rates of certain taxing units.  </w:t>
      </w:r>
      <w:r>
        <w:rPr>
          <w:i/>
        </w:rPr>
        <w:t xml:space="preserve">Requires cities and counties with total tax revenues of at least $5 million to publish a public notice and hold a hearing on any tax rate that increases total tax revenue from the preceding year.  </w:t>
      </w:r>
      <w:r>
        <w:rPr/>
        <w:t>02-26-01 Referred to the House Ways and Means Committee.</w:t>
      </w:r>
    </w:p>
    <w:p>
      <w:pPr>
        <w:pStyle w:val="BodyText3"/>
        <w:rPr/>
      </w:pPr>
      <w:r>
        <w:rPr/>
      </w:r>
    </w:p>
    <w:p>
      <w:pPr>
        <w:pStyle w:val="BodyText3"/>
        <w:rPr>
          <w:b/>
          <w:bCs/>
        </w:rPr>
      </w:pPr>
      <w:r>
        <w:rPr>
          <w:b/>
          <w:bCs/>
        </w:rPr>
        <w:t>HB 2034/Bosse</w:t>
      </w:r>
    </w:p>
    <w:p>
      <w:pPr>
        <w:pStyle w:val="BodyText3"/>
        <w:ind w:firstLine="720" w:end="0"/>
        <w:rPr/>
      </w:pPr>
      <w:r>
        <w:rPr>
          <w:b/>
          <w:bCs/>
        </w:rPr>
        <w:t>SAME AS SB 561.</w:t>
      </w:r>
      <w:r>
        <w:rPr/>
        <w:t xml:space="preserve">  Relating to indemnification provisions concerning registered architects and registered engineers in certain construction contracts. 02-26-01 Referred to the House Civil Practices Committee.</w:t>
      </w:r>
    </w:p>
    <w:p>
      <w:pPr>
        <w:pStyle w:val="BodyText3"/>
        <w:rPr/>
      </w:pPr>
      <w:r>
        <w:rPr/>
      </w:r>
    </w:p>
    <w:p>
      <w:pPr>
        <w:pStyle w:val="BodyText3"/>
        <w:rPr>
          <w:b/>
          <w:bCs/>
        </w:rPr>
      </w:pPr>
      <w:r>
        <w:rPr>
          <w:b/>
          <w:bCs/>
        </w:rPr>
        <w:t>HB 2072/Junell</w:t>
      </w:r>
    </w:p>
    <w:p>
      <w:pPr>
        <w:pStyle w:val="BodyText3"/>
        <w:ind w:firstLine="720" w:end="0"/>
        <w:rPr/>
      </w:pPr>
      <w:r>
        <w:rPr>
          <w:b/>
          <w:bCs/>
        </w:rPr>
        <w:t>SAME AS SB 842.</w:t>
      </w:r>
      <w:r>
        <w:rPr/>
        <w:t xml:space="preserve">  Relating to class actions.  02-26-01 Referred to the House Civil Practices Committee.</w:t>
      </w:r>
    </w:p>
    <w:p>
      <w:pPr>
        <w:pStyle w:val="BodyText3"/>
        <w:rPr/>
      </w:pPr>
      <w:r>
        <w:rPr/>
      </w:r>
    </w:p>
    <w:p>
      <w:pPr>
        <w:pStyle w:val="BodyText3"/>
        <w:rPr>
          <w:b/>
          <w:bCs/>
        </w:rPr>
      </w:pPr>
      <w:r>
        <w:rPr>
          <w:b/>
          <w:bCs/>
        </w:rPr>
        <w:t>HB 2107/Turner, Sylvester</w:t>
      </w:r>
    </w:p>
    <w:p>
      <w:pPr>
        <w:pStyle w:val="BodyText3"/>
        <w:ind w:firstLine="720" w:end="0"/>
        <w:rPr/>
      </w:pPr>
      <w:r>
        <w:rPr/>
        <w:t xml:space="preserve">Relating to the recovery of stranded costs and the crediting of negative stranded costs.  </w:t>
      </w:r>
      <w:r>
        <w:rPr>
          <w:i/>
        </w:rPr>
        <w:t>Clarifies the Public Utility Commission’s [“PUC”] authority regarding the recovery of stranded costs and the crediting of negative stranded costs.  Requires the PUC to order any applicable utility without positive stranded costs to discontinue the allowed mitigation tools and to reverse any prior mitigation such as to eliminate any estimated excess of market value over the net book value of generation assets.  Requires the PUC to reflect such reversal of previous mitigation in the transmission and distribution rates.  Additionally, requires the PUC to reduce the affiliated retail electric provider’s price to beat in order to flow through any reductions in the transmission and distribution rates.</w:t>
      </w:r>
    </w:p>
    <w:p>
      <w:pPr>
        <w:pStyle w:val="BodyText3"/>
        <w:rPr>
          <w:i/>
          <w:i/>
        </w:rPr>
      </w:pPr>
      <w:r>
        <w:rPr>
          <w:i/>
        </w:rPr>
      </w:r>
    </w:p>
    <w:p>
      <w:pPr>
        <w:pStyle w:val="BodyText3"/>
        <w:rPr>
          <w:i/>
          <w:i/>
        </w:rPr>
      </w:pPr>
      <w:r>
        <w:rPr>
          <w:i/>
        </w:rPr>
        <w:t>Allows the PUC to require a utility with negative stranded costs to credit the negative stranded costs to customers in a manner to be determined by the PUC.</w:t>
      </w:r>
    </w:p>
    <w:p>
      <w:pPr>
        <w:pStyle w:val="BodyText3"/>
        <w:rPr>
          <w:i/>
          <w:i/>
        </w:rPr>
      </w:pPr>
      <w:r>
        <w:rPr>
          <w:i/>
        </w:rPr>
      </w:r>
    </w:p>
    <w:p>
      <w:pPr>
        <w:pStyle w:val="BodyText3"/>
        <w:rPr>
          <w:i/>
          <w:i/>
        </w:rPr>
      </w:pPr>
      <w:r>
        <w:rPr>
          <w:i/>
        </w:rPr>
        <w:t>Clarifies that utilities determined to have negative stranded costs in the 2004 true-up proceedings must credit the negative stranded costs to customers.  Allows such negative stranded costs to be used to: improve or expand transmission or distribution facilities; improve air quality; or reduce transmission and distribution rates.</w:t>
      </w:r>
    </w:p>
    <w:p>
      <w:pPr>
        <w:pStyle w:val="BodyText3"/>
        <w:rPr/>
      </w:pPr>
      <w:r>
        <w:rPr/>
        <w:t xml:space="preserve">02-27-01 Referred to the House State Affairs Committee. </w:t>
      </w:r>
    </w:p>
    <w:p>
      <w:pPr>
        <w:pStyle w:val="BodyText3"/>
        <w:rPr/>
      </w:pPr>
      <w:r>
        <w:rPr/>
      </w:r>
    </w:p>
    <w:p>
      <w:pPr>
        <w:pStyle w:val="BodyText3"/>
        <w:rPr>
          <w:b/>
          <w:bCs/>
        </w:rPr>
      </w:pPr>
      <w:r>
        <w:rPr>
          <w:b/>
          <w:bCs/>
        </w:rPr>
        <w:t>HB 2131/King, Tracy</w:t>
      </w:r>
    </w:p>
    <w:p>
      <w:pPr>
        <w:pStyle w:val="BodyText3"/>
        <w:ind w:firstLine="720" w:end="0"/>
        <w:rPr/>
      </w:pPr>
      <w:r>
        <w:rPr>
          <w:b/>
          <w:bCs/>
          <w:iCs/>
        </w:rPr>
        <w:t xml:space="preserve">Same as SB 1019/Armbrister.  TLMA Environmental Bill.  </w:t>
      </w:r>
      <w:r>
        <w:rPr/>
        <w:t>Relating to certain matters regarding oil and gas regulation, including fees, plugging of well, required financial security, and offenses.  02-28-01 Referred to the House Energy Resources Committee.</w:t>
      </w:r>
      <w:r>
        <w:br w:type="page"/>
      </w:r>
    </w:p>
    <w:p>
      <w:pPr>
        <w:pStyle w:val="BodyText3"/>
        <w:rPr>
          <w:i/>
          <w:i/>
        </w:rPr>
      </w:pPr>
      <w:r>
        <w:rPr>
          <w:i/>
        </w:rPr>
      </w:r>
    </w:p>
    <w:p>
      <w:pPr>
        <w:pStyle w:val="BodyText3"/>
        <w:rPr>
          <w:i/>
          <w:i/>
        </w:rPr>
      </w:pPr>
      <w:r>
        <w:rPr>
          <w:i/>
        </w:rPr>
      </w:r>
    </w:p>
    <w:p>
      <w:pPr>
        <w:pStyle w:val="BodyText3"/>
        <w:rPr>
          <w:b/>
          <w:bCs/>
        </w:rPr>
      </w:pPr>
      <w:r>
        <w:rPr>
          <w:b/>
          <w:bCs/>
        </w:rPr>
        <w:t>HB 2134/Chisum</w:t>
      </w:r>
    </w:p>
    <w:p>
      <w:pPr>
        <w:pStyle w:val="BodyText3"/>
        <w:ind w:firstLine="720" w:end="0"/>
        <w:rPr/>
      </w:pPr>
      <w:r>
        <w:rPr/>
        <w:t xml:space="preserve">Relating to the regulation of motor vehicle emissions.  </w:t>
      </w:r>
      <w:r>
        <w:rPr>
          <w:i/>
        </w:rPr>
        <w:t>Requires the Texas Natural Resource Conservation Commission to adopt vehicle inspection and maintenance [“I/M”] requirements for attainment counties which voluntarily adopt an I/M program.  (The counties must follow  a form resolution process.)</w:t>
      </w:r>
    </w:p>
    <w:p>
      <w:pPr>
        <w:pStyle w:val="BodyText3"/>
        <w:rPr>
          <w:i/>
          <w:i/>
        </w:rPr>
      </w:pPr>
      <w:r>
        <w:rPr>
          <w:i/>
        </w:rPr>
      </w:r>
    </w:p>
    <w:p>
      <w:pPr>
        <w:pStyle w:val="BodyText3"/>
        <w:rPr>
          <w:i/>
          <w:i/>
        </w:rPr>
      </w:pPr>
      <w:r>
        <w:rPr>
          <w:i/>
        </w:rPr>
        <w:t>Allows the TNRCC to set different test fees for different counties or regions.  Allows the TNRCC to require different types of tests for different vehicle models.  Establishes a low-income and accelerated vehicle retirement program fund and specifies program requirements for the use of those funds.  Requires proof of emission test on resale in counties with an inspection program.</w:t>
      </w:r>
    </w:p>
    <w:p>
      <w:pPr>
        <w:pStyle w:val="BodyText3"/>
        <w:rPr>
          <w:i/>
          <w:i/>
        </w:rPr>
      </w:pPr>
      <w:r>
        <w:rPr>
          <w:i/>
        </w:rPr>
      </w:r>
    </w:p>
    <w:p>
      <w:pPr>
        <w:pStyle w:val="BodyText3"/>
        <w:rPr>
          <w:i/>
          <w:i/>
        </w:rPr>
      </w:pPr>
      <w:r>
        <w:rPr>
          <w:i/>
        </w:rPr>
        <w:t>Provides a waiver for certain vehicles failing the emissions test which are determined to be driven less than 5,000 miles per year.</w:t>
      </w:r>
    </w:p>
    <w:p>
      <w:pPr>
        <w:pStyle w:val="BodyText3"/>
        <w:rPr>
          <w:i/>
          <w:i/>
        </w:rPr>
      </w:pPr>
      <w:r>
        <w:rPr>
          <w:i/>
        </w:rPr>
      </w:r>
    </w:p>
    <w:p>
      <w:pPr>
        <w:pStyle w:val="BodyText3"/>
        <w:rPr>
          <w:i/>
          <w:i/>
        </w:rPr>
      </w:pPr>
      <w:r>
        <w:rPr>
          <w:i/>
        </w:rPr>
        <w:t xml:space="preserve">Expands the use of remote sensing to counties adjacent to nonattainment counties.  Authorizes the TNRCC, in consultation with the DPS, to contract with private entities to provide testing equipment to inspection stations in exchange for part of the testing fee.  Provides for emission reduction credits for private, commercial, or business entities which purchase specified vehicles for accelerated retirement.  Creates a third-degree felony for fraud committed in selling a vehicle for accelerated retirement.  </w:t>
      </w:r>
    </w:p>
    <w:p>
      <w:pPr>
        <w:pStyle w:val="BodyText3"/>
        <w:rPr>
          <w:i/>
          <w:i/>
        </w:rPr>
      </w:pPr>
      <w:r>
        <w:rPr>
          <w:i/>
        </w:rPr>
      </w:r>
    </w:p>
    <w:p>
      <w:pPr>
        <w:pStyle w:val="BodyText3"/>
        <w:rPr>
          <w:i/>
          <w:i/>
        </w:rPr>
      </w:pPr>
      <w:r>
        <w:rPr>
          <w:i/>
        </w:rPr>
        <w:t>Provides that preferential treatment of counties voluntarily adopting an I/M program is granted regarding receipt of state and federal clean air grants.</w:t>
      </w:r>
    </w:p>
    <w:p>
      <w:pPr>
        <w:pStyle w:val="BodyText3"/>
        <w:rPr>
          <w:i/>
          <w:i/>
        </w:rPr>
      </w:pPr>
      <w:r>
        <w:rPr>
          <w:i/>
        </w:rPr>
      </w:r>
    </w:p>
    <w:p>
      <w:pPr>
        <w:pStyle w:val="BodyText3"/>
        <w:rPr>
          <w:i/>
          <w:i/>
        </w:rPr>
      </w:pPr>
      <w:r>
        <w:rPr>
          <w:i/>
        </w:rPr>
        <w:t>Denies title and registration renewal to vehicles in affected counties which fail to show proof of having passed an I/M test.</w:t>
      </w:r>
    </w:p>
    <w:p>
      <w:pPr>
        <w:pStyle w:val="BodyText3"/>
        <w:rPr>
          <w:i/>
          <w:i/>
        </w:rPr>
      </w:pPr>
      <w:r>
        <w:rPr>
          <w:i/>
        </w:rPr>
      </w:r>
    </w:p>
    <w:p>
      <w:pPr>
        <w:pStyle w:val="BodyText3"/>
        <w:rPr/>
      </w:pPr>
      <w:r>
        <w:rPr>
          <w:i/>
        </w:rPr>
        <w:t xml:space="preserve">Creates an offense (misdemeanor) for driving a smoking vehicle, with fines ranging from $1 to $350 for first offenses and from $200 to $1000 for subsequent offenses.  </w:t>
      </w:r>
      <w:r>
        <w:rPr/>
        <w:t>02-28-01 Referred to the House Environmental Regulation Committee.</w:t>
      </w:r>
    </w:p>
    <w:p>
      <w:pPr>
        <w:pStyle w:val="BodyText3"/>
        <w:rPr/>
      </w:pPr>
      <w:r>
        <w:rPr/>
      </w:r>
    </w:p>
    <w:p>
      <w:pPr>
        <w:pStyle w:val="BodyText3"/>
        <w:rPr>
          <w:b/>
          <w:bCs/>
        </w:rPr>
      </w:pPr>
      <w:r>
        <w:rPr>
          <w:b/>
          <w:bCs/>
        </w:rPr>
        <w:t>HB 2151/Danburg</w:t>
      </w:r>
    </w:p>
    <w:p>
      <w:pPr>
        <w:pStyle w:val="BodyText3"/>
        <w:ind w:firstLine="720" w:end="0"/>
        <w:rPr/>
      </w:pPr>
      <w:r>
        <w:rPr>
          <w:b/>
          <w:bCs/>
          <w:iCs/>
        </w:rPr>
        <w:t xml:space="preserve">Same as SB 996/Lindsay.  </w:t>
      </w:r>
      <w:r>
        <w:rPr/>
        <w:t>Relating to the authority of local governments to aggregate, purchase, and sell energy and natural gas.  02-28-01 Referred to House State Affairs Committee.</w:t>
      </w:r>
    </w:p>
    <w:p>
      <w:pPr>
        <w:pStyle w:val="BodyText3"/>
        <w:rPr/>
      </w:pPr>
      <w:r>
        <w:rPr/>
      </w:r>
    </w:p>
    <w:p>
      <w:pPr>
        <w:pStyle w:val="BodyText3"/>
        <w:rPr>
          <w:b/>
          <w:bCs/>
        </w:rPr>
      </w:pPr>
      <w:r>
        <w:rPr>
          <w:b/>
          <w:bCs/>
        </w:rPr>
        <w:t>HB 2234/Delisi</w:t>
      </w:r>
    </w:p>
    <w:p>
      <w:pPr>
        <w:pStyle w:val="BodyText3"/>
        <w:ind w:firstLine="720" w:end="0"/>
        <w:rPr/>
      </w:pPr>
      <w:r>
        <w:rPr/>
        <w:t xml:space="preserve">Relating to franchise tax incentives for wind energy devices.  </w:t>
      </w:r>
      <w:r>
        <w:rPr>
          <w:i/>
        </w:rPr>
        <w:t>Exempts from the franchise tax corporations engaged solely in the business of manufacturing, selling, or installing wind energy devices.</w:t>
      </w:r>
    </w:p>
    <w:p>
      <w:pPr>
        <w:pStyle w:val="BodyText3"/>
        <w:rPr>
          <w:i/>
          <w:i/>
        </w:rPr>
      </w:pPr>
      <w:r>
        <w:rPr>
          <w:i/>
        </w:rPr>
      </w:r>
    </w:p>
    <w:p>
      <w:pPr>
        <w:pStyle w:val="BodyText3"/>
        <w:rPr>
          <w:i/>
          <w:i/>
        </w:rPr>
      </w:pPr>
      <w:r>
        <w:rPr>
          <w:i/>
        </w:rPr>
        <w:t xml:space="preserve">Allows corporations a deduction under the franchise tax for the cost of wind energy devices.   </w:t>
      </w:r>
    </w:p>
    <w:p>
      <w:pPr>
        <w:pStyle w:val="BodyText3"/>
        <w:rPr/>
      </w:pPr>
      <w:r>
        <w:rPr/>
        <w:t>03-01-01  Referred to the House Ways and Means Committee.</w:t>
      </w:r>
    </w:p>
    <w:p>
      <w:pPr>
        <w:pStyle w:val="BodyText3"/>
        <w:rPr>
          <w:i/>
          <w:i/>
        </w:rPr>
      </w:pPr>
      <w:r>
        <w:rPr>
          <w:i/>
        </w:rPr>
      </w:r>
    </w:p>
    <w:p>
      <w:pPr>
        <w:pStyle w:val="BodyText3"/>
        <w:rPr>
          <w:b/>
          <w:bCs/>
        </w:rPr>
      </w:pPr>
      <w:r>
        <w:rPr>
          <w:b/>
          <w:bCs/>
        </w:rPr>
        <w:t>HB 2236/Delisi</w:t>
      </w:r>
    </w:p>
    <w:p>
      <w:pPr>
        <w:pStyle w:val="BodyText3"/>
        <w:ind w:firstLine="720" w:end="0"/>
        <w:rPr/>
      </w:pPr>
      <w:r>
        <w:rPr/>
        <w:t xml:space="preserve">Relating to franchise tax incentives for hydrogen energy devices.  </w:t>
      </w:r>
      <w:r>
        <w:rPr>
          <w:i/>
        </w:rPr>
        <w:t>Exempts from the franchise tax corporations engaged solely in the business of manufacturing, selling, or installing hydrogen energy devices.</w:t>
      </w:r>
    </w:p>
    <w:p>
      <w:pPr>
        <w:pStyle w:val="BodyText3"/>
        <w:rPr>
          <w:i/>
          <w:i/>
        </w:rPr>
      </w:pPr>
      <w:r>
        <w:rPr>
          <w:i/>
        </w:rPr>
      </w:r>
    </w:p>
    <w:p>
      <w:pPr>
        <w:pStyle w:val="BodyText3"/>
        <w:rPr>
          <w:i/>
          <w:i/>
        </w:rPr>
      </w:pPr>
      <w:r>
        <w:rPr>
          <w:i/>
        </w:rPr>
        <w:t xml:space="preserve">Allows corporations a deduction under the franchise tax for the cost of hydrogen energy devices.   </w:t>
      </w:r>
    </w:p>
    <w:p>
      <w:pPr>
        <w:pStyle w:val="BodyText3"/>
        <w:rPr/>
      </w:pPr>
      <w:r>
        <w:rPr/>
        <w:t>03-01-01 Referred to the House Ways and Means Committee.</w:t>
      </w:r>
    </w:p>
    <w:p>
      <w:pPr>
        <w:pStyle w:val="BodyText3"/>
        <w:rPr/>
      </w:pPr>
      <w:r>
        <w:rPr/>
      </w:r>
    </w:p>
    <w:p>
      <w:pPr>
        <w:pStyle w:val="BodyText3"/>
        <w:rPr>
          <w:b/>
          <w:bCs/>
        </w:rPr>
      </w:pPr>
      <w:r>
        <w:rPr>
          <w:b/>
          <w:bCs/>
        </w:rPr>
        <w:t>HB 2311/Bosse</w:t>
      </w:r>
    </w:p>
    <w:p>
      <w:pPr>
        <w:pStyle w:val="BodyText3"/>
        <w:ind w:firstLine="720" w:end="0"/>
        <w:rPr/>
      </w:pPr>
      <w:r>
        <w:rPr/>
        <w:t xml:space="preserve">Relating to certain agreements for the payment of subcontractors.  </w:t>
      </w:r>
      <w:r>
        <w:rPr>
          <w:i/>
        </w:rPr>
        <w:t xml:space="preserve">Voids provisions in contracts that provide that payment to a subcontractor for work performed or materials furnished is conditioned on the receipt of payment by the original contractor, or another subcontractor, from another person.  (Voids contingent payment provisions in construction contracts).  </w:t>
      </w:r>
      <w:r>
        <w:rPr/>
        <w:t>03-01-01 Filed in the House.</w:t>
      </w:r>
      <w:r>
        <w:br w:type="page"/>
      </w:r>
    </w:p>
    <w:p>
      <w:pPr>
        <w:pStyle w:val="BodyText3"/>
        <w:rPr/>
      </w:pPr>
      <w:r>
        <w:rPr/>
      </w:r>
    </w:p>
    <w:p>
      <w:pPr>
        <w:pStyle w:val="BodyText3"/>
        <w:rPr/>
      </w:pPr>
      <w:r>
        <w:rPr/>
      </w:r>
    </w:p>
    <w:p>
      <w:pPr>
        <w:pStyle w:val="BodyText3"/>
        <w:rPr>
          <w:b/>
          <w:bCs/>
        </w:rPr>
      </w:pPr>
      <w:r>
        <w:rPr>
          <w:b/>
          <w:bCs/>
        </w:rPr>
        <w:t>HB 2338/Turner, Sylvester</w:t>
      </w:r>
    </w:p>
    <w:p>
      <w:pPr>
        <w:pStyle w:val="BodyText3"/>
        <w:ind w:firstLine="720" w:end="0"/>
        <w:rPr/>
      </w:pPr>
      <w:r>
        <w:rPr/>
        <w:t xml:space="preserve">Relating to violations of the Clean Air Act.  </w:t>
      </w:r>
      <w:r>
        <w:rPr>
          <w:i/>
        </w:rPr>
        <w:t xml:space="preserve">Provides that a person who commits the offense of violating an order, permit, exemption, or a rule adopted under the Texas Clean Air Act may be prosecuted without alleging or proving a culpable mental state.  </w:t>
      </w:r>
    </w:p>
    <w:p>
      <w:pPr>
        <w:pStyle w:val="BodyText3"/>
        <w:rPr>
          <w:i/>
          <w:i/>
        </w:rPr>
      </w:pPr>
      <w:r>
        <w:rPr>
          <w:i/>
        </w:rPr>
      </w:r>
    </w:p>
    <w:p>
      <w:pPr>
        <w:pStyle w:val="BodyText3"/>
        <w:rPr/>
      </w:pPr>
      <w:r>
        <w:rPr>
          <w:i/>
        </w:rPr>
        <w:t xml:space="preserve">Increases penalties for other intentional or knowing violations of the Clean Air Act.  </w:t>
      </w:r>
      <w:r>
        <w:rPr/>
        <w:t>03-01-01 Filed in the House.</w:t>
      </w:r>
    </w:p>
    <w:p>
      <w:pPr>
        <w:pStyle w:val="BodyText3"/>
        <w:rPr/>
      </w:pPr>
      <w:r>
        <w:rPr/>
      </w:r>
    </w:p>
    <w:p>
      <w:pPr>
        <w:pStyle w:val="BodyText3"/>
        <w:rPr>
          <w:b/>
          <w:bCs/>
        </w:rPr>
      </w:pPr>
      <w:r>
        <w:rPr>
          <w:b/>
          <w:bCs/>
        </w:rPr>
        <w:t>HB 2339/Turner, Sylvester</w:t>
      </w:r>
    </w:p>
    <w:p>
      <w:pPr>
        <w:pStyle w:val="BodyText3"/>
        <w:ind w:firstLine="720" w:end="0"/>
        <w:rPr/>
      </w:pPr>
      <w:r>
        <w:rPr/>
        <w:t xml:space="preserve">Relating to statutory definition of terms used in the prosecution of certain environmental crimes.  </w:t>
      </w:r>
      <w:r>
        <w:rPr>
          <w:i/>
        </w:rPr>
        <w:t xml:space="preserve">Creates definitions of many terms used in the prosecution of certain environmental crimes by referring to definitions already in other statutes.  However, creates a new definition of “used oil” as follows:  </w:t>
      </w:r>
      <w:r>
        <w:rPr>
          <w:i/>
          <w:iCs/>
        </w:rPr>
        <w:t xml:space="preserve">“oil refined from crude oil, or synthetic oil, that, as a result of use, storage, or handling has been contaminated by physical or chemical impurities or has become unsuitable for its original purpose because of impurities or the loss of any of its properties, regardless of whether the oil may be: </w:t>
      </w:r>
      <w:r>
        <w:rPr>
          <w:i/>
        </w:rPr>
        <w:t>(A) suitable for further or a different use; or (B) recyclable.”</w:t>
      </w:r>
    </w:p>
    <w:p>
      <w:pPr>
        <w:pStyle w:val="BodyText3"/>
        <w:rPr/>
      </w:pPr>
      <w:r>
        <w:rPr/>
        <w:t>03-01-01 Filed in the House.</w:t>
      </w:r>
    </w:p>
    <w:p>
      <w:pPr>
        <w:pStyle w:val="BodyText3"/>
        <w:rPr/>
      </w:pPr>
      <w:r>
        <w:rPr/>
      </w:r>
    </w:p>
    <w:p>
      <w:pPr>
        <w:pStyle w:val="BodyText3"/>
        <w:rPr>
          <w:b/>
          <w:bCs/>
        </w:rPr>
      </w:pPr>
      <w:r>
        <w:rPr>
          <w:b/>
          <w:bCs/>
        </w:rPr>
        <w:t>HB 2372/Burnam</w:t>
      </w:r>
    </w:p>
    <w:p>
      <w:pPr>
        <w:pStyle w:val="BodyText3"/>
        <w:ind w:firstLine="720" w:end="0"/>
        <w:rPr/>
      </w:pPr>
      <w:r>
        <w:rPr/>
        <w:t xml:space="preserve">Relating to the role of the Texas Natural Resource Conservation Commission in economic development of the state.  </w:t>
      </w:r>
      <w:r>
        <w:rPr>
          <w:i/>
        </w:rPr>
        <w:t xml:space="preserve">Declares that the TNRCC is not responsible for fostering or encouraging economic development.  Repeals existing language which includes a provision in the policy of the TNRCC that the TNRCC maintain the economic development of the state.  </w:t>
      </w:r>
      <w:r>
        <w:rPr/>
        <w:t>03-01-01 Filed in the House.</w:t>
      </w:r>
    </w:p>
    <w:p>
      <w:pPr>
        <w:pStyle w:val="BodyText3"/>
        <w:rPr>
          <w:i/>
          <w:i/>
        </w:rPr>
      </w:pPr>
      <w:r>
        <w:rPr>
          <w:i/>
        </w:rPr>
      </w:r>
    </w:p>
    <w:p>
      <w:pPr>
        <w:pStyle w:val="BodyText3"/>
        <w:rPr>
          <w:b/>
          <w:bCs/>
        </w:rPr>
      </w:pPr>
      <w:r>
        <w:rPr>
          <w:b/>
          <w:bCs/>
        </w:rPr>
        <w:t>HB 2391/Turner, Bob</w:t>
      </w:r>
    </w:p>
    <w:p>
      <w:pPr>
        <w:pStyle w:val="BodyText3"/>
        <w:ind w:firstLine="720" w:end="0"/>
        <w:rPr/>
      </w:pPr>
      <w:r>
        <w:rPr/>
        <w:t xml:space="preserve">Relating to fees and penalties relating to notification of underground excavation.  </w:t>
      </w:r>
      <w:r>
        <w:rPr>
          <w:i/>
        </w:rPr>
        <w:t xml:space="preserve">Increases by ten-fold the fees and penalties assessable against excavators for violating the Underground Facility Damage Prevention and Safety Act (“Dial Before You Dig”).  Increases the amount that the notification center must pay to a corporation each time a call is received from one cent to five cents.  But reduces the annual cap that a corporation may receive from $500,000 to $250,000.  </w:t>
      </w:r>
      <w:r>
        <w:rPr/>
        <w:t>03-01-01 Filed in the House.</w:t>
      </w:r>
    </w:p>
    <w:p>
      <w:pPr>
        <w:pStyle w:val="BodyText3"/>
        <w:rPr>
          <w:sz w:val="20"/>
          <w:lang w:val="en-CA" w:eastAsia="en-CA"/>
        </w:rPr>
      </w:pPr>
      <w:r>
        <w:rPr>
          <w:sz w:val="20"/>
          <w:lang w:val="en-CA" w:eastAsia="en-CA"/>
        </w:rPr>
      </w:r>
      <w:r>
        <mc:AlternateContent>
          <mc:Choice Requires="wps">
            <w:drawing>
              <wp:anchor behindDoc="0" distT="91440" distB="0" distL="182880" distR="182880" simplePos="0" locked="0" layoutInCell="0" allowOverlap="1" relativeHeight="5">
                <wp:simplePos x="0" y="0"/>
                <wp:positionH relativeFrom="column">
                  <wp:posOffset>-28575</wp:posOffset>
                </wp:positionH>
                <wp:positionV relativeFrom="paragraph">
                  <wp:posOffset>-20955</wp:posOffset>
                </wp:positionV>
                <wp:extent cx="1885950" cy="3369945"/>
                <wp:effectExtent l="0" t="0" r="0" b="0"/>
                <wp:wrapSquare wrapText="bothSides"/>
                <wp:docPr id="3" name="Frame1"/>
                <a:graphic xmlns:a="http://schemas.openxmlformats.org/drawingml/2006/main">
                  <a:graphicData uri="http://schemas.microsoft.com/office/word/2010/wordprocessingShape">
                    <wps:wsp>
                      <wps:cNvSpPr txBox="1"/>
                      <wps:spPr>
                        <a:xfrm>
                          <a:off x="0" y="0"/>
                          <a:ext cx="1885950" cy="3369945"/>
                        </a:xfrm>
                        <a:prstGeom prst="rect"/>
                        <a:solidFill>
                          <a:srgbClr val="FFFFFF"/>
                        </a:solidFill>
                        <a:ln w="19050">
                          <a:solidFill>
                            <a:srgbClr val="000000"/>
                          </a:solidFill>
                        </a:ln>
                      </wps:spPr>
                      <wps:txbx>
                        <w:txbxContent>
                          <w:p>
                            <w:pPr>
                              <w:pStyle w:val="Normal"/>
                              <w:rPr>
                                <w:sz w:val="20"/>
                              </w:rPr>
                            </w:pPr>
                            <w:r>
                              <w:rPr>
                                <w:sz w:val="20"/>
                              </w:rPr>
                            </w:r>
                          </w:p>
                          <w:p>
                            <w:pPr>
                              <w:pStyle w:val="Heading4"/>
                              <w:ind w:hanging="0" w:start="0"/>
                              <w:rPr>
                                <w:sz w:val="21"/>
                                <w:szCs w:val="19"/>
                              </w:rPr>
                            </w:pPr>
                            <w:r>
                              <w:rPr>
                                <w:sz w:val="21"/>
                              </w:rPr>
                              <w:t>LEGISLATIVE DIGEST</w:t>
                            </w:r>
                          </w:p>
                          <w:p>
                            <w:pPr>
                              <w:pStyle w:val="Normal"/>
                              <w:tabs>
                                <w:tab w:val="clear" w:pos="720"/>
                                <w:tab w:val="left" w:pos="2745" w:leader="dot"/>
                              </w:tabs>
                              <w:autoSpaceDE w:val="false"/>
                              <w:spacing w:lineRule="atLeast" w:line="100"/>
                              <w:jc w:val="both"/>
                              <w:rPr>
                                <w:rFonts w:ascii="Arial" w:hAnsi="Arial" w:cs="Arial"/>
                                <w:sz w:val="21"/>
                                <w:szCs w:val="19"/>
                              </w:rPr>
                            </w:pPr>
                            <w:r>
                              <w:rPr>
                                <w:rFonts w:cs="Arial" w:ascii="Arial" w:hAnsi="Arial"/>
                                <w:sz w:val="21"/>
                                <w:szCs w:val="19"/>
                              </w:rPr>
                            </w:r>
                          </w:p>
                          <w:p>
                            <w:pPr>
                              <w:pStyle w:val="Normal"/>
                              <w:tabs>
                                <w:tab w:val="clear" w:pos="720"/>
                                <w:tab w:val="left" w:pos="2745" w:leader="dot"/>
                              </w:tabs>
                              <w:autoSpaceDE w:val="false"/>
                              <w:jc w:val="both"/>
                              <w:rPr>
                                <w:rFonts w:ascii="Arial" w:hAnsi="Arial" w:cs="Arial"/>
                                <w:sz w:val="18"/>
                                <w:szCs w:val="18"/>
                              </w:rPr>
                            </w:pPr>
                            <w:r>
                              <w:rPr>
                                <w:rFonts w:cs="Arial" w:ascii="Arial" w:hAnsi="Arial"/>
                                <w:sz w:val="18"/>
                                <w:szCs w:val="18"/>
                              </w:rPr>
                              <w:t>Published by</w:t>
                            </w:r>
                          </w:p>
                          <w:p>
                            <w:pPr>
                              <w:pStyle w:val="Heading3"/>
                              <w:ind w:hanging="0" w:start="0"/>
                              <w:rPr/>
                            </w:pPr>
                            <w:r>
                              <w:rPr/>
                              <w:t>Texas Oil &amp; Gas Association</w:t>
                            </w:r>
                          </w:p>
                          <w:p>
                            <w:pPr>
                              <w:pStyle w:val="Normal"/>
                              <w:tabs>
                                <w:tab w:val="clear" w:pos="720"/>
                                <w:tab w:val="left" w:pos="2745" w:leader="dot"/>
                              </w:tabs>
                              <w:autoSpaceDE w:val="false"/>
                              <w:jc w:val="both"/>
                              <w:rPr>
                                <w:rFonts w:ascii="Arial" w:hAnsi="Arial" w:cs="Arial"/>
                                <w:sz w:val="18"/>
                                <w:szCs w:val="18"/>
                              </w:rPr>
                            </w:pPr>
                            <w:r>
                              <w:rPr>
                                <w:rFonts w:cs="Arial" w:ascii="Arial" w:hAnsi="Arial"/>
                                <w:sz w:val="18"/>
                                <w:szCs w:val="18"/>
                              </w:rPr>
                              <w:t>304 West Thirteenth Street</w:t>
                            </w:r>
                          </w:p>
                          <w:p>
                            <w:pPr>
                              <w:pStyle w:val="Normal"/>
                              <w:tabs>
                                <w:tab w:val="clear" w:pos="720"/>
                                <w:tab w:val="left" w:pos="2745" w:leader="dot"/>
                              </w:tabs>
                              <w:autoSpaceDE w:val="false"/>
                              <w:jc w:val="both"/>
                              <w:rPr>
                                <w:rFonts w:ascii="Arial" w:hAnsi="Arial" w:cs="Arial"/>
                                <w:sz w:val="18"/>
                                <w:szCs w:val="18"/>
                              </w:rPr>
                            </w:pPr>
                            <w:r>
                              <w:rPr>
                                <w:rFonts w:cs="Arial" w:ascii="Arial" w:hAnsi="Arial"/>
                                <w:sz w:val="18"/>
                                <w:szCs w:val="18"/>
                              </w:rPr>
                              <w:t>Austin, TX  78701-1823</w:t>
                            </w:r>
                          </w:p>
                          <w:p>
                            <w:pPr>
                              <w:pStyle w:val="Normal"/>
                              <w:tabs>
                                <w:tab w:val="clear" w:pos="720"/>
                                <w:tab w:val="left" w:pos="2745" w:leader="dot"/>
                              </w:tabs>
                              <w:autoSpaceDE w:val="false"/>
                              <w:jc w:val="both"/>
                              <w:rPr>
                                <w:rFonts w:ascii="Arial" w:hAnsi="Arial" w:cs="Arial"/>
                                <w:sz w:val="18"/>
                                <w:szCs w:val="18"/>
                              </w:rPr>
                            </w:pPr>
                            <w:r>
                              <w:rPr>
                                <w:rFonts w:cs="Arial" w:ascii="Arial" w:hAnsi="Arial"/>
                                <w:sz w:val="18"/>
                                <w:szCs w:val="18"/>
                              </w:rPr>
                              <w:t>Phone:  (512) 478-6631</w:t>
                            </w:r>
                          </w:p>
                          <w:p>
                            <w:pPr>
                              <w:pStyle w:val="Normal"/>
                              <w:tabs>
                                <w:tab w:val="clear" w:pos="720"/>
                                <w:tab w:val="left" w:pos="2745" w:leader="dot"/>
                              </w:tabs>
                              <w:autoSpaceDE w:val="false"/>
                              <w:jc w:val="both"/>
                              <w:rPr>
                                <w:rFonts w:ascii="Arial" w:hAnsi="Arial" w:cs="Arial"/>
                                <w:sz w:val="18"/>
                                <w:szCs w:val="18"/>
                              </w:rPr>
                            </w:pPr>
                            <w:r>
                              <w:rPr>
                                <w:rFonts w:cs="Arial" w:ascii="Arial" w:hAnsi="Arial"/>
                                <w:sz w:val="18"/>
                                <w:szCs w:val="18"/>
                              </w:rPr>
                              <w:t>Fax:  (512) 472-3859</w:t>
                            </w:r>
                          </w:p>
                          <w:p>
                            <w:pPr>
                              <w:pStyle w:val="Normal"/>
                              <w:tabs>
                                <w:tab w:val="clear" w:pos="720"/>
                                <w:tab w:val="left" w:pos="2745" w:leader="dot"/>
                              </w:tabs>
                              <w:autoSpaceDE w:val="false"/>
                              <w:jc w:val="both"/>
                              <w:rPr>
                                <w:rFonts w:ascii="Arial" w:hAnsi="Arial" w:cs="Arial"/>
                                <w:sz w:val="17"/>
                                <w:szCs w:val="17"/>
                              </w:rPr>
                            </w:pPr>
                            <w:r>
                              <w:rPr>
                                <w:rFonts w:cs="Arial" w:ascii="Arial" w:hAnsi="Arial"/>
                                <w:sz w:val="18"/>
                                <w:szCs w:val="18"/>
                              </w:rPr>
                              <w:t>E-Mail: Bennis@txoga.org</w:t>
                            </w:r>
                          </w:p>
                          <w:p>
                            <w:pPr>
                              <w:pStyle w:val="Normal"/>
                              <w:tabs>
                                <w:tab w:val="clear" w:pos="720"/>
                                <w:tab w:val="left" w:pos="2745" w:leader="dot"/>
                              </w:tabs>
                              <w:autoSpaceDE w:val="false"/>
                              <w:spacing w:lineRule="atLeast" w:line="100"/>
                              <w:jc w:val="both"/>
                              <w:rPr>
                                <w:rFonts w:ascii="Arial" w:hAnsi="Arial" w:cs="Arial"/>
                                <w:sz w:val="21"/>
                                <w:szCs w:val="19"/>
                              </w:rPr>
                            </w:pPr>
                            <w:r>
                              <w:rPr>
                                <w:rFonts w:cs="Arial" w:ascii="Arial" w:hAnsi="Arial"/>
                                <w:sz w:val="21"/>
                                <w:szCs w:val="19"/>
                              </w:rPr>
                            </w:r>
                          </w:p>
                          <w:p>
                            <w:pPr>
                              <w:pStyle w:val="Heading3"/>
                              <w:ind w:hanging="0" w:start="0"/>
                              <w:rPr/>
                            </w:pPr>
                            <w:r>
                              <w:rPr/>
                              <w:t>Chairman</w:t>
                            </w:r>
                          </w:p>
                          <w:p>
                            <w:pPr>
                              <w:pStyle w:val="Normal"/>
                              <w:tabs>
                                <w:tab w:val="clear" w:pos="720"/>
                                <w:tab w:val="left" w:pos="2745" w:leader="dot"/>
                              </w:tabs>
                              <w:autoSpaceDE w:val="false"/>
                              <w:jc w:val="both"/>
                              <w:rPr>
                                <w:rFonts w:ascii="Arial" w:hAnsi="Arial" w:cs="Arial"/>
                                <w:b/>
                                <w:bCs/>
                                <w:sz w:val="18"/>
                                <w:szCs w:val="18"/>
                              </w:rPr>
                            </w:pPr>
                            <w:r>
                              <w:rPr>
                                <w:rFonts w:cs="Arial" w:ascii="Arial" w:hAnsi="Arial"/>
                                <w:sz w:val="18"/>
                                <w:szCs w:val="18"/>
                              </w:rPr>
                              <w:t>E. L. Ames, Jr.</w:t>
                            </w:r>
                          </w:p>
                          <w:p>
                            <w:pPr>
                              <w:pStyle w:val="Normal"/>
                              <w:tabs>
                                <w:tab w:val="clear" w:pos="720"/>
                                <w:tab w:val="left" w:pos="2745" w:leader="dot"/>
                              </w:tabs>
                              <w:autoSpaceDE w:val="false"/>
                              <w:jc w:val="both"/>
                              <w:rPr>
                                <w:rFonts w:ascii="Arial" w:hAnsi="Arial" w:cs="Arial"/>
                                <w:b/>
                                <w:bCs/>
                                <w:sz w:val="20"/>
                                <w:szCs w:val="18"/>
                              </w:rPr>
                            </w:pPr>
                            <w:r>
                              <w:rPr>
                                <w:rFonts w:cs="Arial" w:ascii="Arial" w:hAnsi="Arial"/>
                                <w:b/>
                                <w:bCs/>
                                <w:sz w:val="20"/>
                                <w:szCs w:val="18"/>
                              </w:rPr>
                            </w:r>
                          </w:p>
                          <w:p>
                            <w:pPr>
                              <w:pStyle w:val="Normal"/>
                              <w:tabs>
                                <w:tab w:val="clear" w:pos="720"/>
                                <w:tab w:val="left" w:pos="2745" w:leader="dot"/>
                              </w:tabs>
                              <w:autoSpaceDE w:val="false"/>
                              <w:jc w:val="both"/>
                              <w:rPr>
                                <w:rFonts w:ascii="Arial" w:hAnsi="Arial" w:cs="Arial"/>
                                <w:b/>
                                <w:bCs/>
                                <w:sz w:val="18"/>
                                <w:szCs w:val="18"/>
                              </w:rPr>
                            </w:pPr>
                            <w:r>
                              <w:rPr>
                                <w:rFonts w:cs="Arial" w:ascii="Arial" w:hAnsi="Arial"/>
                                <w:b/>
                                <w:bCs/>
                                <w:sz w:val="18"/>
                                <w:szCs w:val="18"/>
                              </w:rPr>
                              <w:t>President</w:t>
                            </w:r>
                          </w:p>
                          <w:p>
                            <w:pPr>
                              <w:pStyle w:val="Normal"/>
                              <w:tabs>
                                <w:tab w:val="clear" w:pos="720"/>
                                <w:tab w:val="left" w:pos="2745" w:leader="dot"/>
                              </w:tabs>
                              <w:autoSpaceDE w:val="false"/>
                              <w:jc w:val="both"/>
                              <w:rPr>
                                <w:rFonts w:ascii="Arial" w:hAnsi="Arial" w:cs="Arial"/>
                                <w:sz w:val="18"/>
                                <w:szCs w:val="18"/>
                              </w:rPr>
                            </w:pPr>
                            <w:r>
                              <w:rPr>
                                <w:rFonts w:cs="Arial" w:ascii="Arial" w:hAnsi="Arial"/>
                                <w:sz w:val="18"/>
                                <w:szCs w:val="18"/>
                              </w:rPr>
                              <w:t>Robert L. Looney</w:t>
                            </w:r>
                          </w:p>
                          <w:p>
                            <w:pPr>
                              <w:pStyle w:val="Normal"/>
                              <w:tabs>
                                <w:tab w:val="clear" w:pos="720"/>
                                <w:tab w:val="left" w:pos="2745" w:leader="dot"/>
                              </w:tabs>
                              <w:autoSpaceDE w:val="false"/>
                              <w:spacing w:lineRule="atLeast" w:line="100"/>
                              <w:jc w:val="both"/>
                              <w:rPr>
                                <w:rFonts w:ascii="Arial" w:hAnsi="Arial" w:cs="Arial"/>
                                <w:b/>
                                <w:bCs/>
                                <w:sz w:val="20"/>
                                <w:szCs w:val="18"/>
                              </w:rPr>
                            </w:pPr>
                            <w:r>
                              <w:rPr>
                                <w:rFonts w:cs="Arial" w:ascii="Arial" w:hAnsi="Arial"/>
                                <w:b/>
                                <w:bCs/>
                                <w:sz w:val="20"/>
                                <w:szCs w:val="18"/>
                              </w:rPr>
                            </w:r>
                          </w:p>
                          <w:p>
                            <w:pPr>
                              <w:pStyle w:val="Normal"/>
                              <w:tabs>
                                <w:tab w:val="clear" w:pos="720"/>
                                <w:tab w:val="left" w:pos="2745" w:leader="dot"/>
                              </w:tabs>
                              <w:autoSpaceDE w:val="false"/>
                              <w:jc w:val="both"/>
                              <w:rPr>
                                <w:rFonts w:ascii="Arial" w:hAnsi="Arial" w:cs="Arial"/>
                                <w:b/>
                                <w:bCs/>
                                <w:sz w:val="18"/>
                                <w:szCs w:val="18"/>
                              </w:rPr>
                            </w:pPr>
                            <w:r>
                              <w:rPr>
                                <w:rFonts w:cs="Arial" w:ascii="Arial" w:hAnsi="Arial"/>
                                <w:b/>
                                <w:bCs/>
                                <w:sz w:val="18"/>
                                <w:szCs w:val="18"/>
                              </w:rPr>
                              <w:t>Editor</w:t>
                            </w:r>
                          </w:p>
                          <w:p>
                            <w:pPr>
                              <w:pStyle w:val="Normal"/>
                              <w:tabs>
                                <w:tab w:val="clear" w:pos="720"/>
                                <w:tab w:val="left" w:pos="2745" w:leader="dot"/>
                              </w:tabs>
                              <w:autoSpaceDE w:val="false"/>
                              <w:jc w:val="both"/>
                              <w:rPr>
                                <w:rFonts w:ascii="Arial" w:hAnsi="Arial" w:cs="Arial"/>
                                <w:sz w:val="18"/>
                                <w:szCs w:val="18"/>
                              </w:rPr>
                            </w:pPr>
                            <w:r>
                              <w:rPr>
                                <w:rFonts w:cs="Arial" w:ascii="Arial" w:hAnsi="Arial"/>
                                <w:sz w:val="18"/>
                                <w:szCs w:val="18"/>
                              </w:rPr>
                              <w:t>William L. Ennis</w:t>
                            </w:r>
                          </w:p>
                          <w:p>
                            <w:pPr>
                              <w:pStyle w:val="Normal"/>
                              <w:tabs>
                                <w:tab w:val="clear" w:pos="720"/>
                                <w:tab w:val="left" w:pos="2745" w:leader="dot"/>
                              </w:tabs>
                              <w:autoSpaceDE w:val="false"/>
                              <w:spacing w:lineRule="atLeast" w:line="100"/>
                              <w:jc w:val="both"/>
                              <w:rPr>
                                <w:rFonts w:ascii="Arial" w:hAnsi="Arial" w:cs="Arial"/>
                                <w:b/>
                                <w:bCs/>
                                <w:sz w:val="20"/>
                                <w:szCs w:val="18"/>
                              </w:rPr>
                            </w:pPr>
                            <w:r>
                              <w:rPr>
                                <w:rFonts w:cs="Arial" w:ascii="Arial" w:hAnsi="Arial"/>
                                <w:b/>
                                <w:bCs/>
                                <w:sz w:val="20"/>
                                <w:szCs w:val="18"/>
                              </w:rPr>
                            </w:r>
                          </w:p>
                          <w:p>
                            <w:pPr>
                              <w:pStyle w:val="Heading3"/>
                              <w:ind w:hanging="0" w:start="0"/>
                              <w:rPr/>
                            </w:pPr>
                            <w:r>
                              <w:rPr/>
                              <w:t>Assistant Editor</w:t>
                            </w:r>
                          </w:p>
                          <w:p>
                            <w:pPr>
                              <w:pStyle w:val="Normal"/>
                              <w:rPr>
                                <w:rFonts w:ascii="Arial" w:hAnsi="Arial" w:cs="Arial"/>
                                <w:sz w:val="18"/>
                                <w:szCs w:val="18"/>
                              </w:rPr>
                            </w:pPr>
                            <w:r>
                              <w:rPr>
                                <w:rFonts w:cs="Arial" w:ascii="Arial" w:hAnsi="Arial"/>
                                <w:sz w:val="18"/>
                                <w:szCs w:val="18"/>
                              </w:rPr>
                              <w:t>Kelli D. Thornton</w:t>
                            </w:r>
                          </w:p>
                        </w:txbxContent>
                      </wps:txbx>
                      <wps:bodyPr anchor="t" lIns="91440" tIns="45720" rIns="91440" bIns="45720">
                        <a:noAutofit/>
                      </wps:bodyPr>
                    </wps:wsp>
                  </a:graphicData>
                </a:graphic>
              </wp:anchor>
            </w:drawing>
          </mc:Choice>
          <mc:Fallback>
            <w:pict>
              <v:rect fillcolor="#FFFFFF" strokecolor="#000000" strokeweight="1pt" style="position:absolute;rotation:-0;width:148.5pt;height:265.35pt;mso-wrap-distance-left:14.4pt;mso-wrap-distance-right:14.4pt;mso-wrap-distance-top:7.2pt;mso-wrap-distance-bottom:0pt;margin-top:-1.65pt;mso-position-vertical-relative:text;margin-left:-2.25pt;mso-position-horizontal-relative:text">
                <v:textbox>
                  <w:txbxContent>
                    <w:p>
                      <w:pPr>
                        <w:pStyle w:val="Normal"/>
                        <w:rPr>
                          <w:sz w:val="20"/>
                        </w:rPr>
                      </w:pPr>
                      <w:r>
                        <w:rPr>
                          <w:sz w:val="20"/>
                        </w:rPr>
                      </w:r>
                    </w:p>
                    <w:p>
                      <w:pPr>
                        <w:pStyle w:val="Heading4"/>
                        <w:ind w:hanging="0" w:start="0"/>
                        <w:rPr>
                          <w:sz w:val="21"/>
                          <w:szCs w:val="19"/>
                        </w:rPr>
                      </w:pPr>
                      <w:r>
                        <w:rPr>
                          <w:sz w:val="21"/>
                        </w:rPr>
                        <w:t>LEGISLATIVE DIGEST</w:t>
                      </w:r>
                    </w:p>
                    <w:p>
                      <w:pPr>
                        <w:pStyle w:val="Normal"/>
                        <w:tabs>
                          <w:tab w:val="clear" w:pos="720"/>
                          <w:tab w:val="left" w:pos="2745" w:leader="dot"/>
                        </w:tabs>
                        <w:autoSpaceDE w:val="false"/>
                        <w:spacing w:lineRule="atLeast" w:line="100"/>
                        <w:jc w:val="both"/>
                        <w:rPr>
                          <w:rFonts w:ascii="Arial" w:hAnsi="Arial" w:cs="Arial"/>
                          <w:sz w:val="21"/>
                          <w:szCs w:val="19"/>
                        </w:rPr>
                      </w:pPr>
                      <w:r>
                        <w:rPr>
                          <w:rFonts w:cs="Arial" w:ascii="Arial" w:hAnsi="Arial"/>
                          <w:sz w:val="21"/>
                          <w:szCs w:val="19"/>
                        </w:rPr>
                      </w:r>
                    </w:p>
                    <w:p>
                      <w:pPr>
                        <w:pStyle w:val="Normal"/>
                        <w:tabs>
                          <w:tab w:val="clear" w:pos="720"/>
                          <w:tab w:val="left" w:pos="2745" w:leader="dot"/>
                        </w:tabs>
                        <w:autoSpaceDE w:val="false"/>
                        <w:jc w:val="both"/>
                        <w:rPr>
                          <w:rFonts w:ascii="Arial" w:hAnsi="Arial" w:cs="Arial"/>
                          <w:sz w:val="18"/>
                          <w:szCs w:val="18"/>
                        </w:rPr>
                      </w:pPr>
                      <w:r>
                        <w:rPr>
                          <w:rFonts w:cs="Arial" w:ascii="Arial" w:hAnsi="Arial"/>
                          <w:sz w:val="18"/>
                          <w:szCs w:val="18"/>
                        </w:rPr>
                        <w:t>Published by</w:t>
                      </w:r>
                    </w:p>
                    <w:p>
                      <w:pPr>
                        <w:pStyle w:val="Heading3"/>
                        <w:ind w:hanging="0" w:start="0"/>
                        <w:rPr/>
                      </w:pPr>
                      <w:r>
                        <w:rPr/>
                        <w:t>Texas Oil &amp; Gas Association</w:t>
                      </w:r>
                    </w:p>
                    <w:p>
                      <w:pPr>
                        <w:pStyle w:val="Normal"/>
                        <w:tabs>
                          <w:tab w:val="clear" w:pos="720"/>
                          <w:tab w:val="left" w:pos="2745" w:leader="dot"/>
                        </w:tabs>
                        <w:autoSpaceDE w:val="false"/>
                        <w:jc w:val="both"/>
                        <w:rPr>
                          <w:rFonts w:ascii="Arial" w:hAnsi="Arial" w:cs="Arial"/>
                          <w:sz w:val="18"/>
                          <w:szCs w:val="18"/>
                        </w:rPr>
                      </w:pPr>
                      <w:r>
                        <w:rPr>
                          <w:rFonts w:cs="Arial" w:ascii="Arial" w:hAnsi="Arial"/>
                          <w:sz w:val="18"/>
                          <w:szCs w:val="18"/>
                        </w:rPr>
                        <w:t>304 West Thirteenth Street</w:t>
                      </w:r>
                    </w:p>
                    <w:p>
                      <w:pPr>
                        <w:pStyle w:val="Normal"/>
                        <w:tabs>
                          <w:tab w:val="clear" w:pos="720"/>
                          <w:tab w:val="left" w:pos="2745" w:leader="dot"/>
                        </w:tabs>
                        <w:autoSpaceDE w:val="false"/>
                        <w:jc w:val="both"/>
                        <w:rPr>
                          <w:rFonts w:ascii="Arial" w:hAnsi="Arial" w:cs="Arial"/>
                          <w:sz w:val="18"/>
                          <w:szCs w:val="18"/>
                        </w:rPr>
                      </w:pPr>
                      <w:r>
                        <w:rPr>
                          <w:rFonts w:cs="Arial" w:ascii="Arial" w:hAnsi="Arial"/>
                          <w:sz w:val="18"/>
                          <w:szCs w:val="18"/>
                        </w:rPr>
                        <w:t>Austin, TX  78701-1823</w:t>
                      </w:r>
                    </w:p>
                    <w:p>
                      <w:pPr>
                        <w:pStyle w:val="Normal"/>
                        <w:tabs>
                          <w:tab w:val="clear" w:pos="720"/>
                          <w:tab w:val="left" w:pos="2745" w:leader="dot"/>
                        </w:tabs>
                        <w:autoSpaceDE w:val="false"/>
                        <w:jc w:val="both"/>
                        <w:rPr>
                          <w:rFonts w:ascii="Arial" w:hAnsi="Arial" w:cs="Arial"/>
                          <w:sz w:val="18"/>
                          <w:szCs w:val="18"/>
                        </w:rPr>
                      </w:pPr>
                      <w:r>
                        <w:rPr>
                          <w:rFonts w:cs="Arial" w:ascii="Arial" w:hAnsi="Arial"/>
                          <w:sz w:val="18"/>
                          <w:szCs w:val="18"/>
                        </w:rPr>
                        <w:t>Phone:  (512) 478-6631</w:t>
                      </w:r>
                    </w:p>
                    <w:p>
                      <w:pPr>
                        <w:pStyle w:val="Normal"/>
                        <w:tabs>
                          <w:tab w:val="clear" w:pos="720"/>
                          <w:tab w:val="left" w:pos="2745" w:leader="dot"/>
                        </w:tabs>
                        <w:autoSpaceDE w:val="false"/>
                        <w:jc w:val="both"/>
                        <w:rPr>
                          <w:rFonts w:ascii="Arial" w:hAnsi="Arial" w:cs="Arial"/>
                          <w:sz w:val="18"/>
                          <w:szCs w:val="18"/>
                        </w:rPr>
                      </w:pPr>
                      <w:r>
                        <w:rPr>
                          <w:rFonts w:cs="Arial" w:ascii="Arial" w:hAnsi="Arial"/>
                          <w:sz w:val="18"/>
                          <w:szCs w:val="18"/>
                        </w:rPr>
                        <w:t>Fax:  (512) 472-3859</w:t>
                      </w:r>
                    </w:p>
                    <w:p>
                      <w:pPr>
                        <w:pStyle w:val="Normal"/>
                        <w:tabs>
                          <w:tab w:val="clear" w:pos="720"/>
                          <w:tab w:val="left" w:pos="2745" w:leader="dot"/>
                        </w:tabs>
                        <w:autoSpaceDE w:val="false"/>
                        <w:jc w:val="both"/>
                        <w:rPr>
                          <w:rFonts w:ascii="Arial" w:hAnsi="Arial" w:cs="Arial"/>
                          <w:sz w:val="17"/>
                          <w:szCs w:val="17"/>
                        </w:rPr>
                      </w:pPr>
                      <w:r>
                        <w:rPr>
                          <w:rFonts w:cs="Arial" w:ascii="Arial" w:hAnsi="Arial"/>
                          <w:sz w:val="18"/>
                          <w:szCs w:val="18"/>
                        </w:rPr>
                        <w:t>E-Mail: Bennis@txoga.org</w:t>
                      </w:r>
                    </w:p>
                    <w:p>
                      <w:pPr>
                        <w:pStyle w:val="Normal"/>
                        <w:tabs>
                          <w:tab w:val="clear" w:pos="720"/>
                          <w:tab w:val="left" w:pos="2745" w:leader="dot"/>
                        </w:tabs>
                        <w:autoSpaceDE w:val="false"/>
                        <w:spacing w:lineRule="atLeast" w:line="100"/>
                        <w:jc w:val="both"/>
                        <w:rPr>
                          <w:rFonts w:ascii="Arial" w:hAnsi="Arial" w:cs="Arial"/>
                          <w:sz w:val="21"/>
                          <w:szCs w:val="19"/>
                        </w:rPr>
                      </w:pPr>
                      <w:r>
                        <w:rPr>
                          <w:rFonts w:cs="Arial" w:ascii="Arial" w:hAnsi="Arial"/>
                          <w:sz w:val="21"/>
                          <w:szCs w:val="19"/>
                        </w:rPr>
                      </w:r>
                    </w:p>
                    <w:p>
                      <w:pPr>
                        <w:pStyle w:val="Heading3"/>
                        <w:ind w:hanging="0" w:start="0"/>
                        <w:rPr/>
                      </w:pPr>
                      <w:r>
                        <w:rPr/>
                        <w:t>Chairman</w:t>
                      </w:r>
                    </w:p>
                    <w:p>
                      <w:pPr>
                        <w:pStyle w:val="Normal"/>
                        <w:tabs>
                          <w:tab w:val="clear" w:pos="720"/>
                          <w:tab w:val="left" w:pos="2745" w:leader="dot"/>
                        </w:tabs>
                        <w:autoSpaceDE w:val="false"/>
                        <w:jc w:val="both"/>
                        <w:rPr>
                          <w:rFonts w:ascii="Arial" w:hAnsi="Arial" w:cs="Arial"/>
                          <w:b/>
                          <w:bCs/>
                          <w:sz w:val="18"/>
                          <w:szCs w:val="18"/>
                        </w:rPr>
                      </w:pPr>
                      <w:r>
                        <w:rPr>
                          <w:rFonts w:cs="Arial" w:ascii="Arial" w:hAnsi="Arial"/>
                          <w:sz w:val="18"/>
                          <w:szCs w:val="18"/>
                        </w:rPr>
                        <w:t>E. L. Ames, Jr.</w:t>
                      </w:r>
                    </w:p>
                    <w:p>
                      <w:pPr>
                        <w:pStyle w:val="Normal"/>
                        <w:tabs>
                          <w:tab w:val="clear" w:pos="720"/>
                          <w:tab w:val="left" w:pos="2745" w:leader="dot"/>
                        </w:tabs>
                        <w:autoSpaceDE w:val="false"/>
                        <w:jc w:val="both"/>
                        <w:rPr>
                          <w:rFonts w:ascii="Arial" w:hAnsi="Arial" w:cs="Arial"/>
                          <w:b/>
                          <w:bCs/>
                          <w:sz w:val="20"/>
                          <w:szCs w:val="18"/>
                        </w:rPr>
                      </w:pPr>
                      <w:r>
                        <w:rPr>
                          <w:rFonts w:cs="Arial" w:ascii="Arial" w:hAnsi="Arial"/>
                          <w:b/>
                          <w:bCs/>
                          <w:sz w:val="20"/>
                          <w:szCs w:val="18"/>
                        </w:rPr>
                      </w:r>
                    </w:p>
                    <w:p>
                      <w:pPr>
                        <w:pStyle w:val="Normal"/>
                        <w:tabs>
                          <w:tab w:val="clear" w:pos="720"/>
                          <w:tab w:val="left" w:pos="2745" w:leader="dot"/>
                        </w:tabs>
                        <w:autoSpaceDE w:val="false"/>
                        <w:jc w:val="both"/>
                        <w:rPr>
                          <w:rFonts w:ascii="Arial" w:hAnsi="Arial" w:cs="Arial"/>
                          <w:b/>
                          <w:bCs/>
                          <w:sz w:val="18"/>
                          <w:szCs w:val="18"/>
                        </w:rPr>
                      </w:pPr>
                      <w:r>
                        <w:rPr>
                          <w:rFonts w:cs="Arial" w:ascii="Arial" w:hAnsi="Arial"/>
                          <w:b/>
                          <w:bCs/>
                          <w:sz w:val="18"/>
                          <w:szCs w:val="18"/>
                        </w:rPr>
                        <w:t>President</w:t>
                      </w:r>
                    </w:p>
                    <w:p>
                      <w:pPr>
                        <w:pStyle w:val="Normal"/>
                        <w:tabs>
                          <w:tab w:val="clear" w:pos="720"/>
                          <w:tab w:val="left" w:pos="2745" w:leader="dot"/>
                        </w:tabs>
                        <w:autoSpaceDE w:val="false"/>
                        <w:jc w:val="both"/>
                        <w:rPr>
                          <w:rFonts w:ascii="Arial" w:hAnsi="Arial" w:cs="Arial"/>
                          <w:sz w:val="18"/>
                          <w:szCs w:val="18"/>
                        </w:rPr>
                      </w:pPr>
                      <w:r>
                        <w:rPr>
                          <w:rFonts w:cs="Arial" w:ascii="Arial" w:hAnsi="Arial"/>
                          <w:sz w:val="18"/>
                          <w:szCs w:val="18"/>
                        </w:rPr>
                        <w:t>Robert L. Looney</w:t>
                      </w:r>
                    </w:p>
                    <w:p>
                      <w:pPr>
                        <w:pStyle w:val="Normal"/>
                        <w:tabs>
                          <w:tab w:val="clear" w:pos="720"/>
                          <w:tab w:val="left" w:pos="2745" w:leader="dot"/>
                        </w:tabs>
                        <w:autoSpaceDE w:val="false"/>
                        <w:spacing w:lineRule="atLeast" w:line="100"/>
                        <w:jc w:val="both"/>
                        <w:rPr>
                          <w:rFonts w:ascii="Arial" w:hAnsi="Arial" w:cs="Arial"/>
                          <w:b/>
                          <w:bCs/>
                          <w:sz w:val="20"/>
                          <w:szCs w:val="18"/>
                        </w:rPr>
                      </w:pPr>
                      <w:r>
                        <w:rPr>
                          <w:rFonts w:cs="Arial" w:ascii="Arial" w:hAnsi="Arial"/>
                          <w:b/>
                          <w:bCs/>
                          <w:sz w:val="20"/>
                          <w:szCs w:val="18"/>
                        </w:rPr>
                      </w:r>
                    </w:p>
                    <w:p>
                      <w:pPr>
                        <w:pStyle w:val="Normal"/>
                        <w:tabs>
                          <w:tab w:val="clear" w:pos="720"/>
                          <w:tab w:val="left" w:pos="2745" w:leader="dot"/>
                        </w:tabs>
                        <w:autoSpaceDE w:val="false"/>
                        <w:jc w:val="both"/>
                        <w:rPr>
                          <w:rFonts w:ascii="Arial" w:hAnsi="Arial" w:cs="Arial"/>
                          <w:b/>
                          <w:bCs/>
                          <w:sz w:val="18"/>
                          <w:szCs w:val="18"/>
                        </w:rPr>
                      </w:pPr>
                      <w:r>
                        <w:rPr>
                          <w:rFonts w:cs="Arial" w:ascii="Arial" w:hAnsi="Arial"/>
                          <w:b/>
                          <w:bCs/>
                          <w:sz w:val="18"/>
                          <w:szCs w:val="18"/>
                        </w:rPr>
                        <w:t>Editor</w:t>
                      </w:r>
                    </w:p>
                    <w:p>
                      <w:pPr>
                        <w:pStyle w:val="Normal"/>
                        <w:tabs>
                          <w:tab w:val="clear" w:pos="720"/>
                          <w:tab w:val="left" w:pos="2745" w:leader="dot"/>
                        </w:tabs>
                        <w:autoSpaceDE w:val="false"/>
                        <w:jc w:val="both"/>
                        <w:rPr>
                          <w:rFonts w:ascii="Arial" w:hAnsi="Arial" w:cs="Arial"/>
                          <w:sz w:val="18"/>
                          <w:szCs w:val="18"/>
                        </w:rPr>
                      </w:pPr>
                      <w:r>
                        <w:rPr>
                          <w:rFonts w:cs="Arial" w:ascii="Arial" w:hAnsi="Arial"/>
                          <w:sz w:val="18"/>
                          <w:szCs w:val="18"/>
                        </w:rPr>
                        <w:t>William L. Ennis</w:t>
                      </w:r>
                    </w:p>
                    <w:p>
                      <w:pPr>
                        <w:pStyle w:val="Normal"/>
                        <w:tabs>
                          <w:tab w:val="clear" w:pos="720"/>
                          <w:tab w:val="left" w:pos="2745" w:leader="dot"/>
                        </w:tabs>
                        <w:autoSpaceDE w:val="false"/>
                        <w:spacing w:lineRule="atLeast" w:line="100"/>
                        <w:jc w:val="both"/>
                        <w:rPr>
                          <w:rFonts w:ascii="Arial" w:hAnsi="Arial" w:cs="Arial"/>
                          <w:b/>
                          <w:bCs/>
                          <w:sz w:val="20"/>
                          <w:szCs w:val="18"/>
                        </w:rPr>
                      </w:pPr>
                      <w:r>
                        <w:rPr>
                          <w:rFonts w:cs="Arial" w:ascii="Arial" w:hAnsi="Arial"/>
                          <w:b/>
                          <w:bCs/>
                          <w:sz w:val="20"/>
                          <w:szCs w:val="18"/>
                        </w:rPr>
                      </w:r>
                    </w:p>
                    <w:p>
                      <w:pPr>
                        <w:pStyle w:val="Heading3"/>
                        <w:ind w:hanging="0" w:start="0"/>
                        <w:rPr/>
                      </w:pPr>
                      <w:r>
                        <w:rPr/>
                        <w:t>Assistant Editor</w:t>
                      </w:r>
                    </w:p>
                    <w:p>
                      <w:pPr>
                        <w:pStyle w:val="Normal"/>
                        <w:rPr>
                          <w:rFonts w:ascii="Arial" w:hAnsi="Arial" w:cs="Arial"/>
                          <w:sz w:val="18"/>
                          <w:szCs w:val="18"/>
                        </w:rPr>
                      </w:pPr>
                      <w:r>
                        <w:rPr>
                          <w:rFonts w:cs="Arial" w:ascii="Arial" w:hAnsi="Arial"/>
                          <w:sz w:val="18"/>
                          <w:szCs w:val="18"/>
                        </w:rPr>
                        <w:t>Kelli D. Thornton</w:t>
                      </w:r>
                    </w:p>
                  </w:txbxContent>
                </v:textbox>
                <w10:wrap type="square"/>
              </v:rect>
            </w:pict>
          </mc:Fallback>
        </mc:AlternateContent>
      </w:r>
    </w:p>
    <w:p>
      <w:pPr>
        <w:pStyle w:val="BodyText3"/>
        <w:rPr>
          <w:b/>
          <w:bCs/>
        </w:rPr>
      </w:pPr>
      <w:r>
        <w:rPr>
          <w:b/>
          <w:bCs/>
        </w:rPr>
        <w:t>HJR 69/Junell</w:t>
      </w:r>
    </w:p>
    <w:p>
      <w:pPr>
        <w:pStyle w:val="BodyText3"/>
        <w:ind w:firstLine="720" w:end="0"/>
        <w:rPr/>
      </w:pPr>
      <w:r>
        <w:rPr/>
        <w:t xml:space="preserve">Relating to proposing a revision of the Texas Constitution.  </w:t>
      </w:r>
      <w:r>
        <w:rPr>
          <w:i/>
        </w:rPr>
        <w:t xml:space="preserve">Proposes a rewrite of the Texas Constitution.  </w:t>
      </w:r>
      <w:r>
        <w:rPr/>
        <w:t>02-28-01 Referred to the House Constitutional Revision Committee.</w:t>
      </w:r>
    </w:p>
    <w:p>
      <w:pPr>
        <w:pStyle w:val="BodyText3"/>
        <w:rPr>
          <w:i/>
          <w:i/>
        </w:rPr>
      </w:pPr>
      <w:r>
        <w:rPr>
          <w:i/>
        </w:rPr>
      </w:r>
    </w:p>
    <w:p>
      <w:pPr>
        <w:pStyle w:val="BodyText3"/>
        <w:rPr>
          <w:b/>
          <w:bCs/>
        </w:rPr>
      </w:pPr>
      <w:r>
        <w:rPr>
          <w:b/>
          <w:bCs/>
        </w:rPr>
        <w:t>SB 305/Harris</w:t>
      </w:r>
    </w:p>
    <w:p>
      <w:pPr>
        <w:pStyle w:val="BodyText3"/>
        <w:ind w:firstLine="720" w:end="0"/>
        <w:rPr/>
      </w:pPr>
      <w:r>
        <w:rPr/>
        <w:t xml:space="preserve">Relating to the continuation and functions of the Parks and Wildlife Department.  </w:t>
      </w:r>
      <w:r>
        <w:rPr>
          <w:i/>
        </w:rPr>
        <w:t xml:space="preserve">Texas Parks and Wildlife Sunset Bill.  </w:t>
      </w:r>
      <w:r>
        <w:rPr/>
        <w:t>02-28-01 Referred to Senate Natural Resources Committee.</w:t>
      </w:r>
    </w:p>
    <w:p>
      <w:pPr>
        <w:pStyle w:val="BodyText3"/>
        <w:rPr/>
      </w:pPr>
      <w:r>
        <w:rPr/>
      </w:r>
    </w:p>
    <w:p>
      <w:pPr>
        <w:pStyle w:val="BodyText3"/>
        <w:rPr>
          <w:b/>
          <w:bCs/>
        </w:rPr>
      </w:pPr>
      <w:r>
        <w:rPr>
          <w:b/>
          <w:bCs/>
        </w:rPr>
        <w:t>SB 886/Ogden</w:t>
      </w:r>
    </w:p>
    <w:p>
      <w:pPr>
        <w:pStyle w:val="BodyText3"/>
        <w:ind w:firstLine="720" w:end="0"/>
        <w:rPr/>
      </w:pPr>
      <w:r>
        <w:rPr/>
        <w:t xml:space="preserve">Relating to motor vehicle size and weight limitations.  </w:t>
      </w:r>
      <w:r>
        <w:rPr>
          <w:i/>
        </w:rPr>
        <w:t xml:space="preserve">Defines “single axle weight” and “tandem axle weight.”  Limits the load for single axle to 20,000 pounds, tandem axle to 34,000 pounds.  Limits overall gross weight on a group of two or more consecutive axles using a formula, or a weight heavier than specified and marked on the sidewall of tire by tire manufacturer.  Allows the Texas Transportation Commission to set maximum axle weights if it finds that the heavier weight would rapidly deteriorate or destroy a road, bridge, or culvert.  Provides penalties for operating a vehicle above maximum loads.   </w:t>
      </w:r>
      <w:r>
        <w:rPr/>
        <w:t>02-26-01 Referred to Senate State Affairs Committee.</w:t>
      </w:r>
    </w:p>
    <w:p>
      <w:pPr>
        <w:pStyle w:val="BodyText3"/>
        <w:rPr/>
      </w:pPr>
      <w:r>
        <w:rPr/>
      </w:r>
    </w:p>
    <w:p>
      <w:pPr>
        <w:pStyle w:val="BodyText3"/>
        <w:rPr>
          <w:b/>
          <w:bCs/>
        </w:rPr>
      </w:pPr>
      <w:r>
        <w:rPr>
          <w:b/>
          <w:bCs/>
        </w:rPr>
        <w:t>SB 887/Ogden</w:t>
      </w:r>
    </w:p>
    <w:p>
      <w:pPr>
        <w:pStyle w:val="BodyText3"/>
        <w:ind w:firstLine="720" w:end="0"/>
        <w:rPr/>
      </w:pPr>
      <w:r>
        <w:rPr/>
        <w:t xml:space="preserve">Relating to the penalties for vehicle size and weight violations.  </w:t>
      </w:r>
      <w:r>
        <w:rPr>
          <w:i/>
        </w:rPr>
        <w:t xml:space="preserve">Establishes new penalties for the operation of overweight vehicles.  </w:t>
      </w:r>
      <w:r>
        <w:rPr/>
        <w:t>02-26-01 Referred to Senate State Affairs Committee.</w:t>
      </w:r>
    </w:p>
    <w:p>
      <w:pPr>
        <w:pStyle w:val="BodyText3"/>
        <w:rPr/>
      </w:pPr>
      <w:r>
        <w:rPr/>
      </w:r>
    </w:p>
    <w:p>
      <w:pPr>
        <w:pStyle w:val="BodyText3"/>
        <w:rPr/>
      </w:pPr>
      <w:r>
        <w:rPr/>
      </w:r>
    </w:p>
    <w:p>
      <w:pPr>
        <w:pStyle w:val="BodyText3"/>
        <w:rPr/>
      </w:pPr>
      <w:r>
        <w:rPr/>
      </w:r>
    </w:p>
    <w:p>
      <w:pPr>
        <w:pStyle w:val="BodyText3"/>
        <w:rPr>
          <w:b/>
          <w:bCs/>
        </w:rPr>
      </w:pPr>
      <w:r>
        <w:rPr>
          <w:b/>
          <w:bCs/>
        </w:rPr>
        <w:t>SB 946/Brown, Buster</w:t>
      </w:r>
    </w:p>
    <w:p>
      <w:pPr>
        <w:pStyle w:val="BodyText3"/>
        <w:ind w:firstLine="720" w:end="0"/>
        <w:rPr/>
      </w:pPr>
      <w:r>
        <w:rPr/>
        <w:t xml:space="preserve">Relating to the authority of the Railroad Commission to sell salvageable equipment and hydrocarbons to prevent theft.  </w:t>
      </w:r>
      <w:r>
        <w:rPr>
          <w:i/>
        </w:rPr>
        <w:t>Requires the Railroad Commission to state on a notice directing an operator to plug a well that the RRC has a statutory lien on well-site equipment and may foreclose on the lien on the 15</w:t>
      </w:r>
      <w:r>
        <w:rPr>
          <w:i/>
          <w:vertAlign w:val="superscript"/>
        </w:rPr>
        <w:t>th</w:t>
      </w:r>
      <w:r>
        <w:rPr>
          <w:i/>
        </w:rPr>
        <w:t xml:space="preserve"> day after notice received if a hearing is not requested in such time.</w:t>
      </w:r>
    </w:p>
    <w:p>
      <w:pPr>
        <w:pStyle w:val="BodyText3"/>
        <w:rPr>
          <w:i/>
          <w:i/>
        </w:rPr>
      </w:pPr>
      <w:r>
        <w:rPr>
          <w:i/>
        </w:rPr>
      </w:r>
    </w:p>
    <w:p>
      <w:pPr>
        <w:pStyle w:val="BodyText3"/>
        <w:rPr/>
      </w:pPr>
      <w:r>
        <w:rPr>
          <w:i/>
        </w:rPr>
        <w:t xml:space="preserve">Allows the statutory lien to be foreclosed by judicial action, commission order, or by the operation of law (current law provides for foreclosure by the RRC entering into a plugging contract).  </w:t>
      </w:r>
      <w:r>
        <w:rPr/>
        <w:t>02-28-01 Referred to the Senate Natural Resources Committee.</w:t>
      </w:r>
    </w:p>
    <w:p>
      <w:pPr>
        <w:pStyle w:val="BodyText3"/>
        <w:rPr/>
      </w:pPr>
      <w:r>
        <w:rPr/>
      </w:r>
    </w:p>
    <w:p>
      <w:pPr>
        <w:pStyle w:val="BodyText3"/>
        <w:rPr>
          <w:b/>
          <w:bCs/>
        </w:rPr>
      </w:pPr>
      <w:r>
        <w:rPr>
          <w:b/>
          <w:bCs/>
        </w:rPr>
        <w:t>SB 947/Brown, Buster</w:t>
      </w:r>
    </w:p>
    <w:p>
      <w:pPr>
        <w:pStyle w:val="BodyText3"/>
        <w:ind w:firstLine="720" w:end="0"/>
        <w:rPr/>
      </w:pPr>
      <w:r>
        <w:rPr/>
        <w:t xml:space="preserve">Relating to the composition and disposition of the oil-field cleanup fund.  </w:t>
      </w:r>
      <w:r>
        <w:rPr>
          <w:i/>
        </w:rPr>
        <w:t xml:space="preserve">Provides that the oil-field cleanup fund may include the proceeds of loans or other indebtedness and that money in the oil-field cleanup fund may be used to pay such a loan or indebtedness.  </w:t>
      </w:r>
      <w:r>
        <w:rPr/>
        <w:t>02-28-01 Referred to the Senate Natural Resources Committee.</w:t>
      </w:r>
    </w:p>
    <w:p>
      <w:pPr>
        <w:pStyle w:val="BodyText3"/>
        <w:rPr>
          <w:i/>
          <w:i/>
        </w:rPr>
      </w:pPr>
      <w:r>
        <w:rPr>
          <w:i/>
        </w:rPr>
      </w:r>
    </w:p>
    <w:p>
      <w:pPr>
        <w:pStyle w:val="BodyText3"/>
        <w:rPr>
          <w:b/>
          <w:bCs/>
        </w:rPr>
      </w:pPr>
      <w:r>
        <w:rPr>
          <w:b/>
          <w:bCs/>
        </w:rPr>
        <w:t>SB 996/Lindsay</w:t>
      </w:r>
    </w:p>
    <w:p>
      <w:pPr>
        <w:pStyle w:val="BodyText3"/>
        <w:ind w:firstLine="720" w:end="0"/>
        <w:rPr/>
      </w:pPr>
      <w:r>
        <w:rPr>
          <w:b/>
          <w:bCs/>
        </w:rPr>
        <w:t>SAME AS HB 2151.</w:t>
      </w:r>
      <w:r>
        <w:rPr/>
        <w:t xml:space="preserve">  Relating to the authority of local governments to aggregate, purchase, and sell energy and natural gas.  03-01-01 Referred to the Senate Business and Industry Committee.</w:t>
      </w:r>
    </w:p>
    <w:p>
      <w:pPr>
        <w:pStyle w:val="BodyText3"/>
        <w:rPr/>
      </w:pPr>
      <w:r>
        <w:rPr/>
      </w:r>
    </w:p>
    <w:p>
      <w:pPr>
        <w:pStyle w:val="BodyText3"/>
        <w:rPr>
          <w:b/>
          <w:bCs/>
        </w:rPr>
      </w:pPr>
      <w:r>
        <w:rPr>
          <w:b/>
          <w:bCs/>
        </w:rPr>
        <w:t>SB 1019/Armbrister</w:t>
      </w:r>
    </w:p>
    <w:p>
      <w:pPr>
        <w:pStyle w:val="BodyText3"/>
        <w:ind w:firstLine="720" w:end="0"/>
        <w:rPr/>
      </w:pPr>
      <w:r>
        <w:rPr>
          <w:b/>
          <w:bCs/>
        </w:rPr>
        <w:t>SAME AS HB 2131.</w:t>
      </w:r>
      <w:r>
        <w:rPr/>
        <w:t xml:space="preserve">  Relating to certain matters regarding oil and gas regulation, including fees, plugging of wells, required financial security, and offenses.  03-01-01 Filed in the Senate.</w:t>
      </w:r>
    </w:p>
    <w:p>
      <w:pPr>
        <w:pStyle w:val="BodyText3"/>
        <w:rPr/>
      </w:pPr>
      <w:r>
        <w:rPr/>
      </w:r>
    </w:p>
    <w:p>
      <w:pPr>
        <w:pStyle w:val="BodyText3"/>
        <w:rPr>
          <w:b/>
          <w:bCs/>
        </w:rPr>
      </w:pPr>
      <w:r>
        <w:rPr>
          <w:b/>
          <w:bCs/>
        </w:rPr>
        <w:t>SB 1025/Lindsay</w:t>
      </w:r>
    </w:p>
    <w:p>
      <w:pPr>
        <w:pStyle w:val="BodyText3"/>
        <w:ind w:firstLine="720" w:end="0"/>
        <w:rPr/>
      </w:pPr>
      <w:r>
        <w:rPr/>
        <w:t xml:space="preserve">Relating to the consolidation and use of certain water fees.  </w:t>
      </w:r>
      <w:r>
        <w:rPr>
          <w:i/>
        </w:rPr>
        <w:t xml:space="preserve">Imposes an annual water quality fee on each user of water in proportion to the user’s water right, through permit or contract, and on each wastewater discharge permit holder for each permit held.  Exempts irrigation water rights.  Increases the cap on fees from $25,000 to $75,000 for each permit or contract.  </w:t>
      </w:r>
      <w:r>
        <w:rPr/>
        <w:t>03-01-01 Filed in the Senate.</w:t>
      </w:r>
    </w:p>
    <w:p>
      <w:pPr>
        <w:pStyle w:val="BodyText3"/>
        <w:rPr/>
      </w:pPr>
      <w:r>
        <w:rPr/>
      </w:r>
    </w:p>
    <w:p>
      <w:pPr>
        <w:pStyle w:val="BodyText3"/>
        <w:rPr>
          <w:b/>
          <w:bCs/>
        </w:rPr>
      </w:pPr>
      <w:r>
        <w:rPr>
          <w:b/>
          <w:bCs/>
        </w:rPr>
        <w:t>SB 1026/Lindsay</w:t>
      </w:r>
    </w:p>
    <w:p>
      <w:pPr>
        <w:pStyle w:val="BodyText3"/>
        <w:ind w:firstLine="720" w:end="0"/>
        <w:rPr/>
      </w:pPr>
      <w:r>
        <w:rPr/>
        <w:t xml:space="preserve">Relating to the disposition and use of air emission fees.  </w:t>
      </w:r>
      <w:r>
        <w:rPr>
          <w:i/>
        </w:rPr>
        <w:t>Allows the Texas Natural Resource Conservation Commission to collect air emission permit fees in excess of the amount necessary to administer the permit program under the federal Clean Air Act and to use those fees to “safeguard the air resources of the state as necessary ….”</w:t>
      </w:r>
      <w:r>
        <w:rPr/>
        <w:t xml:space="preserve">  03-01-01 Filed in the Senate.</w:t>
      </w:r>
    </w:p>
    <w:p>
      <w:pPr>
        <w:pStyle w:val="BodyText3"/>
        <w:rPr/>
      </w:pPr>
      <w:r>
        <w:rPr/>
      </w:r>
    </w:p>
    <w:p>
      <w:pPr>
        <w:pStyle w:val="BodyText3"/>
        <w:rPr>
          <w:b/>
          <w:bCs/>
        </w:rPr>
      </w:pPr>
      <w:r>
        <w:rPr>
          <w:b/>
          <w:bCs/>
        </w:rPr>
        <w:t>SB 1027/Lindsay</w:t>
      </w:r>
    </w:p>
    <w:p>
      <w:pPr>
        <w:pStyle w:val="BodyText3"/>
        <w:ind w:firstLine="720" w:end="0"/>
        <w:rPr/>
      </w:pPr>
      <w:r>
        <w:rPr/>
        <w:t xml:space="preserve">Relating to the use of certain fees by the Texas Natural Resource Conservation Commission.  </w:t>
      </w:r>
      <w:r>
        <w:rPr>
          <w:i/>
        </w:rPr>
        <w:t xml:space="preserve">Allows for the appropriation and consolidation of all fees collected for deposit to the water resource management account.  Allows the TNRCC to use the fees for the purpose of protecting the water resources of the state regardless of any restrictions otherwise imposed by law regarding the fees.  </w:t>
      </w:r>
      <w:r>
        <w:rPr/>
        <w:t>03-01-01 Filed in the Senate.</w:t>
      </w:r>
    </w:p>
    <w:p>
      <w:pPr>
        <w:pStyle w:val="BodyText3"/>
        <w:rPr>
          <w:i/>
          <w:i/>
        </w:rPr>
      </w:pPr>
      <w:r>
        <w:rPr>
          <w:i/>
        </w:rPr>
      </w:r>
    </w:p>
    <w:p>
      <w:pPr>
        <w:pStyle w:val="BodyText3"/>
        <w:rPr>
          <w:b/>
          <w:bCs/>
        </w:rPr>
      </w:pPr>
      <w:r>
        <w:rPr>
          <w:b/>
          <w:bCs/>
        </w:rPr>
        <w:t>SJR 27/Lindsay</w:t>
      </w:r>
    </w:p>
    <w:p>
      <w:pPr>
        <w:pStyle w:val="BodyText3"/>
        <w:ind w:firstLine="720" w:end="0"/>
        <w:rPr/>
      </w:pPr>
      <w:r>
        <w:rPr/>
        <w:t xml:space="preserve">Relating to establishing a special motor fuels tax and dedicating the proceeds of the special tax to the Department of Transportation and to the funding of group health benefits for employees of school districts.  </w:t>
      </w:r>
    </w:p>
    <w:p>
      <w:pPr>
        <w:pStyle w:val="BodyText3"/>
        <w:rPr/>
      </w:pPr>
      <w:r>
        <w:rPr>
          <w:i/>
        </w:rPr>
        <w:t xml:space="preserve">Proposes a constitutional amendment to require the legislature to impose a “special tax” of four cents on the rate of motor fuels (does not specify per gallon, appears to apply per sale).  Allocates one cent of the tax to the available school fund for the sole purpose of funding group health benefits for school district employees.  Allocates the remaining three cents to the Texas Department of Transportation.  </w:t>
      </w:r>
      <w:r>
        <w:rPr/>
        <w:t>02-27-01 Referred to the Senate Finance Committee.</w:t>
      </w:r>
    </w:p>
    <w:p>
      <w:pPr>
        <w:pStyle w:val="BodyText3"/>
        <w:rPr>
          <w:sz w:val="20"/>
          <w:lang w:val="en-CA" w:eastAsia="en-CA"/>
        </w:rPr>
      </w:pPr>
      <w:r>
        <w:rPr>
          <w:sz w:val="20"/>
          <w:lang w:val="en-CA" w:eastAsia="en-CA"/>
        </w:rPr>
        <w:drawing>
          <wp:anchor behindDoc="0" distT="0" distB="0" distL="114935" distR="114935" simplePos="0" locked="0" layoutInCell="0" allowOverlap="1" relativeHeight="4">
            <wp:simplePos x="0" y="0"/>
            <wp:positionH relativeFrom="column">
              <wp:posOffset>661035</wp:posOffset>
            </wp:positionH>
            <wp:positionV relativeFrom="page">
              <wp:posOffset>9005570</wp:posOffset>
            </wp:positionV>
            <wp:extent cx="5010150" cy="574040"/>
            <wp:effectExtent l="0" t="0" r="0" b="0"/>
            <wp:wrapSquare wrapText="bothSides"/>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6"/>
                    <a:srcRect l="-6" t="-52" r="-6" b="-52"/>
                    <a:stretch>
                      <a:fillRect/>
                    </a:stretch>
                  </pic:blipFill>
                  <pic:spPr bwMode="auto">
                    <a:xfrm>
                      <a:off x="0" y="0"/>
                      <a:ext cx="5010150" cy="574040"/>
                    </a:xfrm>
                    <a:prstGeom prst="rect">
                      <a:avLst/>
                    </a:prstGeom>
                    <a:noFill/>
                  </pic:spPr>
                </pic:pic>
              </a:graphicData>
            </a:graphic>
          </wp:anchor>
        </w:drawing>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Gill San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i/>
        <w:iCs/>
        <w:smallCaps/>
        <w:color w:val="000000"/>
        <w:sz w:val="20"/>
        <w:szCs w:val="20"/>
      </w:rPr>
      <w:t xml:space="preserve">304 West Thirteenth Street  </w:t>
    </w:r>
    <w:r>
      <w:rPr>
        <w:rFonts w:cs="Wingdings" w:ascii="Wingdings" w:hAnsi="Wingdings"/>
        <w:sz w:val="12"/>
        <w:szCs w:val="12"/>
      </w:rPr>
      <w:sym w:font="Wingdings" w:char="f06c"/>
    </w:r>
    <w:r>
      <w:rPr>
        <w:i/>
        <w:iCs/>
        <w:smallCaps/>
        <w:sz w:val="20"/>
        <w:szCs w:val="20"/>
      </w:rPr>
      <w:t xml:space="preserve">  Austin, Texas 78701-1823  </w:t>
    </w:r>
    <w:r>
      <w:rPr>
        <w:rFonts w:cs="Wingdings" w:ascii="Wingdings" w:hAnsi="Wingdings"/>
        <w:sz w:val="12"/>
        <w:szCs w:val="12"/>
      </w:rPr>
      <w:sym w:font="Wingdings" w:char="f06c"/>
    </w:r>
    <w:r>
      <w:rPr>
        <w:i/>
        <w:iCs/>
        <w:smallCaps/>
        <w:sz w:val="20"/>
        <w:szCs w:val="20"/>
      </w:rPr>
      <w:t xml:space="preserve">  Tele 512/478-6631  </w:t>
    </w:r>
    <w:r>
      <w:rPr>
        <w:rFonts w:cs="Wingdings" w:ascii="Wingdings" w:hAnsi="Wingdings"/>
        <w:sz w:val="12"/>
        <w:szCs w:val="12"/>
      </w:rPr>
      <w:sym w:font="Wingdings" w:char="f06c"/>
    </w:r>
    <w:r>
      <w:rPr>
        <w:i/>
        <w:iCs/>
        <w:smallCaps/>
        <w:sz w:val="20"/>
        <w:szCs w:val="20"/>
      </w:rPr>
      <w:t xml:space="preserve">  Fax  512/472-3859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0200" w:leader="none"/>
      </w:tabs>
      <w:rPr/>
    </w:pPr>
    <w:r>
      <w:rPr>
        <w:rStyle w:val="PageNumber"/>
        <w:rFonts w:cs="Arial" w:ascii="Gill Sans" w:hAnsi="Gill Sans"/>
      </w:rPr>
      <w:t>Legislative Digest#8</w:t>
      <w:tab/>
      <w:tab/>
    </w:r>
    <w:r>
      <w:rPr>
        <w:rStyle w:val="PageNumber"/>
        <w:rFonts w:cs="Arial" w:ascii="Gill Sans" w:hAnsi="Gill Sans"/>
      </w:rPr>
      <w:fldChar w:fldCharType="begin"/>
    </w:r>
    <w:r>
      <w:rPr>
        <w:rStyle w:val="PageNumber"/>
        <w:rFonts w:cs="Arial" w:ascii="Gill Sans" w:hAnsi="Gill Sans"/>
      </w:rPr>
      <w:instrText xml:space="preserve"> PAGE </w:instrText>
    </w:r>
    <w:r>
      <w:rPr>
        <w:rStyle w:val="PageNumber"/>
        <w:rFonts w:cs="Arial" w:ascii="Gill Sans" w:hAnsi="Gill Sans"/>
      </w:rPr>
      <w:fldChar w:fldCharType="separate"/>
    </w:r>
    <w:r>
      <w:rPr>
        <w:rStyle w:val="PageNumber"/>
        <w:rFonts w:cs="Arial" w:ascii="Gill Sans" w:hAnsi="Gill Sans"/>
      </w:rPr>
      <w:t>5</w:t>
    </w:r>
    <w:r>
      <w:rPr>
        <w:rStyle w:val="PageNumber"/>
        <w:rFonts w:cs="Arial" w:ascii="Gill Sans" w:hAnsi="Gill Sans"/>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mallCaps/>
      <w:color w:val="000000"/>
      <w:sz w:val="20"/>
    </w:rPr>
  </w:style>
  <w:style w:type="paragraph" w:styleId="Heading2">
    <w:name w:val="heading 2"/>
    <w:basedOn w:val="Normal"/>
    <w:next w:val="Normal"/>
    <w:qFormat/>
    <w:pPr>
      <w:keepNext w:val="true"/>
      <w:numPr>
        <w:ilvl w:val="1"/>
        <w:numId w:val="1"/>
      </w:numPr>
      <w:tabs>
        <w:tab w:val="left" w:pos="720" w:leader="none"/>
        <w:tab w:val="left" w:pos="1440" w:leader="none"/>
        <w:tab w:val="left" w:pos="1800" w:leader="none"/>
      </w:tabs>
      <w:outlineLvl w:val="1"/>
    </w:pPr>
    <w:rPr>
      <w:b/>
      <w:bCs/>
      <w:smallCaps/>
      <w:color w:val="000000"/>
      <w:sz w:val="28"/>
    </w:rPr>
  </w:style>
  <w:style w:type="paragraph" w:styleId="Heading3">
    <w:name w:val="heading 3"/>
    <w:basedOn w:val="Normal"/>
    <w:next w:val="Normal"/>
    <w:qFormat/>
    <w:pPr>
      <w:keepNext w:val="true"/>
      <w:numPr>
        <w:ilvl w:val="2"/>
        <w:numId w:val="1"/>
      </w:numPr>
      <w:tabs>
        <w:tab w:val="clear" w:pos="720"/>
        <w:tab w:val="left" w:pos="2745" w:leader="dot"/>
      </w:tabs>
      <w:autoSpaceDE w:val="false"/>
      <w:jc w:val="both"/>
      <w:outlineLvl w:val="2"/>
    </w:pPr>
    <w:rPr>
      <w:rFonts w:ascii="Arial" w:hAnsi="Arial" w:cs="Arial"/>
      <w:b/>
      <w:bCs/>
      <w:sz w:val="18"/>
      <w:szCs w:val="18"/>
    </w:rPr>
  </w:style>
  <w:style w:type="paragraph" w:styleId="Heading4">
    <w:name w:val="heading 4"/>
    <w:basedOn w:val="Normal"/>
    <w:next w:val="Normal"/>
    <w:qFormat/>
    <w:pPr>
      <w:keepNext w:val="true"/>
      <w:numPr>
        <w:ilvl w:val="3"/>
        <w:numId w:val="1"/>
      </w:numPr>
      <w:tabs>
        <w:tab w:val="clear" w:pos="720"/>
        <w:tab w:val="left" w:pos="2745" w:leader="dot"/>
      </w:tabs>
      <w:autoSpaceDE w:val="false"/>
      <w:jc w:val="both"/>
      <w:outlineLvl w:val="3"/>
    </w:pPr>
    <w:rPr>
      <w:rFonts w:ascii="Arial" w:hAnsi="Arial" w:cs="Arial"/>
      <w:b/>
      <w:bCs/>
      <w:color w:val="000000"/>
      <w:sz w:val="22"/>
      <w:szCs w:val="20"/>
    </w:rPr>
  </w:style>
  <w:style w:type="paragraph" w:styleId="Heading5">
    <w:name w:val="heading 5"/>
    <w:basedOn w:val="Normal"/>
    <w:next w:val="Normal"/>
    <w:qFormat/>
    <w:pPr>
      <w:keepNext w:val="true"/>
      <w:numPr>
        <w:ilvl w:val="4"/>
        <w:numId w:val="1"/>
      </w:numPr>
      <w:jc w:val="both"/>
      <w:outlineLvl w:val="4"/>
    </w:pPr>
    <w:rPr>
      <w:szCs w:val="20"/>
    </w:rPr>
  </w:style>
  <w:style w:type="paragraph" w:styleId="Heading6">
    <w:name w:val="heading 6"/>
    <w:basedOn w:val="Normal"/>
    <w:next w:val="Normal"/>
    <w:qFormat/>
    <w:pPr>
      <w:keepNext w:val="true"/>
      <w:numPr>
        <w:ilvl w:val="5"/>
        <w:numId w:val="1"/>
      </w:numPr>
      <w:jc w:val="both"/>
      <w:outlineLvl w:val="5"/>
    </w:pPr>
    <w:rPr>
      <w:b/>
      <w:i/>
      <w:szCs w:val="20"/>
    </w:rPr>
  </w:style>
  <w:style w:type="paragraph" w:styleId="Heading7">
    <w:name w:val="heading 7"/>
    <w:basedOn w:val="Normal"/>
    <w:next w:val="Normal"/>
    <w:qFormat/>
    <w:pPr>
      <w:keepNext w:val="true"/>
      <w:numPr>
        <w:ilvl w:val="6"/>
        <w:numId w:val="1"/>
      </w:numPr>
      <w:jc w:val="center"/>
      <w:outlineLvl w:val="6"/>
    </w:pPr>
    <w:rPr>
      <w:rFonts w:ascii="Arial" w:hAnsi="Arial" w:cs="Arial"/>
      <w:sz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mallCaps/>
      <w:color w:val="000000"/>
      <w:sz w:val="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1">
    <w:name w:val="Body text1"/>
    <w:qFormat/>
    <w:pPr>
      <w:widowControl/>
      <w:autoSpaceDE w:val="false"/>
      <w:bidi w:val="0"/>
      <w:ind w:firstLine="480" w:start="0" w:end="0"/>
    </w:pPr>
    <w:rPr>
      <w:rFonts w:ascii="Times New Roman" w:hAnsi="Times New Roman" w:eastAsia="Times New Roman" w:cs="Times New Roman"/>
      <w:color w:val="000000"/>
      <w:sz w:val="20"/>
      <w:szCs w:val="24"/>
      <w:lang w:val="en-US" w:bidi="ar-SA" w:eastAsia="zh-CN"/>
    </w:rPr>
  </w:style>
  <w:style w:type="paragraph" w:styleId="BodyText2">
    <w:name w:val="Body Text 2"/>
    <w:basedOn w:val="Normal"/>
    <w:qFormat/>
    <w:pPr/>
    <w:rPr>
      <w:b/>
      <w:bCs/>
      <w:smallCaps/>
      <w:color w:val="000000"/>
      <w:sz w:val="32"/>
    </w:rPr>
  </w:style>
  <w:style w:type="paragraph" w:styleId="BodyText3">
    <w:name w:val="Body Text 3"/>
    <w:basedOn w:val="Normal"/>
    <w:qFormat/>
    <w:pPr>
      <w:jc w:val="both"/>
    </w:pPr>
    <w:rPr>
      <w:sz w:val="22"/>
    </w:rPr>
  </w:style>
  <w:style w:type="paragraph" w:styleId="BodyTextIndent3">
    <w:name w:val="Body Text Indent 3"/>
    <w:basedOn w:val="Normal"/>
    <w:qFormat/>
    <w:pPr>
      <w:ind w:firstLine="720" w:start="0" w:end="0"/>
      <w:jc w:val="both"/>
    </w:pPr>
    <w:rPr>
      <w:i/>
      <w:szCs w:val="20"/>
    </w:rPr>
  </w:style>
  <w:style w:type="paragraph" w:styleId="BodyTextIndent">
    <w:name w:val="Body Text Indent"/>
    <w:basedOn w:val="Normal"/>
    <w:pPr>
      <w:ind w:firstLine="720" w:start="0" w:end="0"/>
      <w:jc w:val="both"/>
    </w:pPr>
    <w:rPr>
      <w:sz w:val="22"/>
    </w:rPr>
  </w:style>
  <w:style w:type="paragraph" w:styleId="BlockText">
    <w:name w:val="Block Text"/>
    <w:basedOn w:val="Normal"/>
    <w:qFormat/>
    <w:pPr>
      <w:ind w:hanging="0" w:start="1080" w:end="1350"/>
    </w:pPr>
    <w:rPr>
      <w:sz w:val="20"/>
      <w:szCs w:val="20"/>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688" w:leader="none"/>
        <w:tab w:val="right" w:pos="1137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2001-03-09T17:28:00Z</dcterms:created>
  <dc:creator>Kelli</dc:creator>
  <dc:description/>
  <dc:language>en-CA</dc:language>
  <cp:lastModifiedBy>Kelli</cp:lastModifiedBy>
  <cp:lastPrinted>2001-03-06T11:22:00Z</cp:lastPrinted>
  <dcterms:modified xsi:type="dcterms:W3CDTF">2001-03-09T17:28:00Z</dcterms:modified>
  <cp:revision>2</cp:revision>
  <dc:subject/>
  <dc:title> </dc:title>
</cp:coreProperties>
</file>