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Dick's Well Service</w:t>
        <w:tab/>
        <w:tab/>
        <w:tab/>
        <w:tab/>
        <w:tab/>
        <w:tab/>
        <w:tab/>
        <w:tab/>
        <w:tab/>
        <w:tab/>
      </w:r>
    </w:p>
    <w:p>
      <w:pPr>
        <w:pStyle w:val="Normal"/>
        <w:rPr>
          <w:rFonts w:ascii="Arial Narrow" w:hAnsi="Arial Narrow" w:cs="Arial Narrow"/>
          <w:sz w:val="20"/>
        </w:rPr>
      </w:pPr>
      <w:r>
        <w:rPr>
          <w:rFonts w:cs="Arial Narrow" w:ascii="Arial Narrow" w:hAnsi="Arial Narrow"/>
          <w:sz w:val="20"/>
        </w:rPr>
        <w:t>651 Falls Road</w:t>
      </w:r>
    </w:p>
    <w:p>
      <w:pPr>
        <w:pStyle w:val="Normal"/>
        <w:rPr>
          <w:rFonts w:ascii="Arial Narrow" w:hAnsi="Arial Narrow" w:cs="Arial Narrow"/>
          <w:sz w:val="20"/>
        </w:rPr>
      </w:pPr>
      <w:r>
        <w:rPr>
          <w:rFonts w:cs="Arial Narrow" w:ascii="Arial Narrow" w:hAnsi="Arial Narrow"/>
          <w:sz w:val="20"/>
        </w:rPr>
        <w:t>New Bethlehem, PA 16242</w:t>
      </w:r>
    </w:p>
    <w:p>
      <w:pPr>
        <w:pStyle w:val="Normal"/>
        <w:rPr>
          <w:rFonts w:ascii="Arial Narrow" w:hAnsi="Arial Narrow" w:cs="Arial Narrow"/>
          <w:sz w:val="20"/>
        </w:rPr>
      </w:pPr>
      <w:r>
        <w:rPr>
          <w:rFonts w:cs="Arial Narrow" w:ascii="Arial Narrow" w:hAnsi="Arial Narrow"/>
          <w:sz w:val="20"/>
        </w:rPr>
        <w:t>Attn:  Richard Forrest</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  Transaction No. __________,  Revised October 30, 2000.</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1,700 MMBtu/Month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Meter # 634555</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November, 2000 through February, 2001 Month to Month with 60 day cancellation. </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for the first 700 MMBtu/Month shall be $4.95 per MMBtu.  The Contract Price for the remaining 1,000 MMBtu/Month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 Va., Ohio, KY.) as listed in the table entitled “Prices of Spot Gas Delivered to Pipelines” in the first-of-the-month issue of such publication for each Month during the Period of Delivery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Dick's Well Service</w:t>
        <w:tab/>
        <w:tab/>
        <w:tab/>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2000-10-24T20:05:00Z</dcterms:created>
  <dc:creator>sdickso</dc:creator>
  <dc:description/>
  <dc:language>en-CA</dc:language>
  <cp:lastModifiedBy>kellis</cp:lastModifiedBy>
  <cp:lastPrinted>2000-10-31T12:15:00Z</cp:lastPrinted>
  <dcterms:modified xsi:type="dcterms:W3CDTF">2000-10-31T15:47:00Z</dcterms:modified>
  <cp:revision>9</cp:revision>
  <dc:subject/>
  <dc:title>ENFOLIO GAS PURCHASE AGREEMENT</dc:title>
</cp:coreProperties>
</file>