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85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325"/>
      </w:tblGrid>
      <w:tr>
        <w:trPr/>
        <w:tc>
          <w:tcPr>
            <w:tcW w:w="2160" w:type="dxa"/>
            <w:tcBorders/>
          </w:tcPr>
          <w:p>
            <w:pPr>
              <w:pStyle w:val="Address2"/>
              <w:rPr/>
            </w:pPr>
            <w:r>
              <w:rPr/>
              <w:t>20219 SE Fernridge Drive, Camas Washington 98607</w:t>
            </w:r>
          </w:p>
        </w:tc>
        <w:tc>
          <w:tcPr>
            <w:tcW w:w="2325" w:type="dxa"/>
            <w:tcBorders/>
          </w:tcPr>
          <w:p>
            <w:pPr>
              <w:pStyle w:val="Address1"/>
              <w:rPr/>
            </w:pPr>
            <w:r>
              <w:rPr/>
              <w:t>(360) 834-3579</w:t>
            </w:r>
          </w:p>
          <w:p>
            <w:pPr>
              <w:pStyle w:val="Address1"/>
              <w:rPr/>
            </w:pPr>
            <w:hyperlink r:id="rId2">
              <w:r>
                <w:rPr>
                  <w:rStyle w:val="Hyperlink"/>
                </w:rPr>
                <w:t>d_scholtes@hotmail.com</w:t>
              </w:r>
            </w:hyperlink>
          </w:p>
        </w:tc>
      </w:tr>
      <w:tr>
        <w:trPr/>
        <w:tc>
          <w:tcPr>
            <w:tcW w:w="2160" w:type="dxa"/>
            <w:tcBorders/>
          </w:tcPr>
          <w:p>
            <w:pPr>
              <w:pStyle w:val="Address2"/>
              <w:snapToGrid w:val="false"/>
              <w:rPr/>
            </w:pPr>
            <w:r>
              <w:rPr/>
            </w:r>
          </w:p>
        </w:tc>
        <w:tc>
          <w:tcPr>
            <w:tcW w:w="2325" w:type="dxa"/>
            <w:tcBorders/>
          </w:tcPr>
          <w:p>
            <w:pPr>
              <w:pStyle w:val="Address1"/>
              <w:snapToGrid w:val="false"/>
              <w:rPr/>
            </w:pPr>
            <w:r>
              <w:rPr/>
            </w:r>
          </w:p>
        </w:tc>
      </w:tr>
    </w:tbl>
    <w:p>
      <w:pPr>
        <w:pStyle w:val="Name"/>
        <w:rPr/>
      </w:pPr>
      <w:r>
        <w:rPr/>
        <w:t>Diana Scholtes</w:t>
      </w:r>
    </w:p>
    <w:tbl>
      <w:tblPr>
        <w:tblW w:w="88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48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Objective</w:t>
            </w:r>
          </w:p>
        </w:tc>
        <w:tc>
          <w:tcPr>
            <w:tcW w:w="6648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To fully utilize my power trading expertise and electric utility experience in the Western U.S. power markets.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spacing w:lineRule="atLeast" w:line="220" w:before="0" w:after="22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Experience</w:t>
            </w:r>
          </w:p>
        </w:tc>
        <w:tc>
          <w:tcPr>
            <w:tcW w:w="6648" w:type="dxa"/>
            <w:tcBorders/>
          </w:tcPr>
          <w:p>
            <w:pPr>
              <w:pStyle w:val="CompanyNameOne"/>
              <w:spacing w:before="240" w:after="40"/>
              <w:rPr/>
            </w:pPr>
            <w:r>
              <w:rPr/>
              <w:t>1997-Present               Enron Corp.                          Portland, OR</w:t>
            </w:r>
          </w:p>
          <w:p>
            <w:pPr>
              <w:pStyle w:val="JobTitle"/>
              <w:rPr/>
            </w:pPr>
            <w:r>
              <w:rPr/>
              <w:t>West Power Trader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Managed Enron’s short-term Northwest power book, meeting or exceeding P&amp;L targets in all years, all well within VAR limits.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Responsible for all of Enron’s physical delivery obligations in the NW, including all ties into California, B.C Border and the Rockies.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Responsible for making short-term markets on EnronOnline and providing markets for Enron’s Origination/Mid-Marketing Team.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WSCC ISAS Panel Representative for Enron.  Providing solutions to the Operating Committee regarding reliability, scheduling processes and market interface policy.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48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1995–1997</w:t>
              <w:tab/>
              <w:t>Portland General Electric    Portland, OR</w:t>
            </w:r>
          </w:p>
          <w:p>
            <w:pPr>
              <w:pStyle w:val="JobTitle"/>
              <w:rPr/>
            </w:pPr>
            <w:r>
              <w:rPr/>
              <w:t>Power Operations Specialist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Responsible for PGE’s operations, which included buying and selling power on a short-term basis to optimize system resources, load and meet PGE’s retail and wholesale obligations.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Managed all off-system positions trading and scheduling; PV, Mead, Four Corners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48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1991–1995</w:t>
              <w:tab/>
              <w:t>Bonneville Power Admin.     Vancouver, WA</w:t>
            </w:r>
          </w:p>
          <w:p>
            <w:pPr>
              <w:pStyle w:val="JobTitle"/>
              <w:rPr/>
            </w:pPr>
            <w:r>
              <w:rPr/>
              <w:t>NW Prescheduler/After the Fact Accountant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Historical Accountant for all of BPA’s Interchange Scheduling.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Reporting Manager and Liaison to the Northwest Power Pool for all reliability reporting criteria required under WSCC.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648" w:type="dxa"/>
            <w:tcBorders/>
          </w:tcPr>
          <w:p>
            <w:pPr>
              <w:pStyle w:val="Achievement"/>
              <w:numPr>
                <w:ilvl w:val="0"/>
                <w:numId w:val="0"/>
              </w:numPr>
              <w:snapToGrid w:val="false"/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48" w:type="dxa"/>
            <w:tcBorders/>
          </w:tcPr>
          <w:p>
            <w:pPr>
              <w:pStyle w:val="Achievement"/>
              <w:numPr>
                <w:ilvl w:val="0"/>
                <w:numId w:val="0"/>
              </w:numPr>
              <w:snapToGrid w:val="false"/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48" w:type="dxa"/>
            <w:tcBorders/>
          </w:tcPr>
          <w:p>
            <w:pPr>
              <w:pStyle w:val="Institution"/>
              <w:snapToGrid w:val="false"/>
              <w:spacing w:before="240" w:after="6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48" w:type="dxa"/>
            <w:tcBorders/>
          </w:tcPr>
          <w:p>
            <w:pPr>
              <w:pStyle w:val="Objective"/>
              <w:snapToGrid w:val="false"/>
              <w:spacing w:before="240" w:after="22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type w:val="nextPage"/>
      <w:pgSz w:w="12240" w:h="15840"/>
      <w:pgMar w:left="1800" w:right="1800" w:gutter="0" w:header="965" w:top="1440" w:footer="0" w:bottom="144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eastAsia="Arial"/>
      </w:rPr>
    </w:pPr>
    <w:r>
      <w:rPr>
        <w:rFonts w:eastAsia="Aria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rFonts w:ascii="Arial" w:hAnsi="Arial" w:cs="Arial"/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rFonts w:ascii="Arial" w:hAnsi="Arial" w:cs="Arial"/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>
      <w:rFonts w:ascii="Arial" w:hAnsi="Arial" w:cs="Arial"/>
    </w:rPr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rFonts w:ascii="Arial" w:hAnsi="Arial" w:cs="Arial"/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>
      <w:rFonts w:ascii="Arial" w:hAnsi="Arial" w:cs="Arial"/>
    </w:rPr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>
      <w:jc w:val="start"/>
    </w:pPr>
    <w:rPr>
      <w:b/>
      <w:spacing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_scholtes@hot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162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2001-11-30T15:22:00Z</dcterms:created>
  <dc:creator>dscholt</dc:creator>
  <dc:description/>
  <dc:language>en-CA</dc:language>
  <cp:lastModifiedBy>dscholt</cp:lastModifiedBy>
  <dcterms:modified xsi:type="dcterms:W3CDTF">2001-11-30T18:32:00Z</dcterms:modified>
  <cp:revision>14</cp:revision>
  <dc:subject/>
  <dc:title>Professional 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