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sz w:val="22"/>
        </w:rPr>
      </w:pPr>
      <w:r>
        <w:rPr>
          <w:b/>
          <w:sz w:val="22"/>
        </w:rPr>
        <w:t>(SWAPTION)</w:t>
      </w:r>
    </w:p>
    <w:p>
      <w:pPr>
        <w:pStyle w:val="Normal"/>
        <w:tabs>
          <w:tab w:val="clear" w:pos="720"/>
          <w:tab w:val="left" w:pos="6480" w:leader="none"/>
        </w:tabs>
        <w:rPr>
          <w:sz w:val="22"/>
        </w:rPr>
      </w:pPr>
      <w:r>
        <w:rPr>
          <w:sz w:val="22"/>
        </w:rPr>
      </w:r>
    </w:p>
    <w:p>
      <w:pPr>
        <w:pStyle w:val="Normal"/>
        <w:ind w:firstLine="720" w:end="0"/>
        <w:rPr>
          <w:sz w:val="22"/>
          <w:u w:val="single"/>
        </w:rPr>
      </w:pPr>
      <w:r>
        <w:rPr>
          <w:sz w:val="22"/>
        </w:rPr>
        <w:t>Date:</w:t>
        <w:tab/>
        <w:tab/>
        <w:tab/>
        <w:tab/>
        <w:t>March 6, 2000</w:t>
      </w:r>
    </w:p>
    <w:p>
      <w:pPr>
        <w:pStyle w:val="Normal"/>
        <w:ind w:firstLine="720" w:end="0"/>
        <w:rPr>
          <w:sz w:val="22"/>
        </w:rPr>
      </w:pPr>
      <w:r>
        <w:rPr>
          <w:sz w:val="22"/>
        </w:rPr>
        <w:t>To:</w:t>
        <w:tab/>
        <w:tab/>
        <w:tab/>
        <w:tab/>
        <w:t>The Dial Corporation (“Counterparty”)</w:t>
      </w:r>
    </w:p>
    <w:p>
      <w:pPr>
        <w:pStyle w:val="Normal"/>
        <w:ind w:firstLine="720" w:end="0"/>
        <w:rPr>
          <w:sz w:val="22"/>
        </w:rPr>
      </w:pPr>
      <w:r>
        <w:rPr>
          <w:sz w:val="22"/>
        </w:rPr>
        <w:t xml:space="preserve">Attention: </w:t>
        <w:tab/>
        <w:tab/>
        <w:tab/>
        <w:t>David Riddiford</w:t>
      </w:r>
    </w:p>
    <w:p>
      <w:pPr>
        <w:pStyle w:val="Normal"/>
        <w:ind w:firstLine="720" w:end="0"/>
        <w:rPr>
          <w:sz w:val="22"/>
        </w:rPr>
      </w:pPr>
      <w:r>
        <w:rPr>
          <w:sz w:val="22"/>
        </w:rPr>
        <w:t>Fax Number:</w:t>
        <w:tab/>
        <w:tab/>
        <w:tab/>
        <w:t>(480) 754-5255</w:t>
      </w:r>
    </w:p>
    <w:p>
      <w:pPr>
        <w:pStyle w:val="Normal"/>
        <w:ind w:firstLine="720" w:end="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color w:val="0000FF"/>
          <w:sz w:val="22"/>
        </w:rPr>
        <w:t>NB5378.1</w:t>
      </w:r>
    </w:p>
    <w:p>
      <w:pPr>
        <w:pStyle w:val="Normal"/>
        <w:ind w:firstLine="720" w:end="0"/>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2"/>
        <w:rPr/>
      </w:pPr>
      <w:r>
        <w:rPr/>
        <w:t>1. This Confirmation supplements, forms part of, and is subject to an ISDA Master Agreement, as amended and supplemented from time to time (the “Agreement”), between you and us.  All provisions contained in the Agreement govern this Confirmation except as expressly modified below.</w:t>
      </w:r>
    </w:p>
    <w:p>
      <w:pPr>
        <w:pStyle w:val="BodyTextIndent"/>
        <w:rPr>
          <w:sz w:val="22"/>
        </w:rPr>
      </w:pPr>
      <w:r>
        <w:rPr>
          <w:sz w:val="22"/>
        </w:rPr>
      </w:r>
    </w:p>
    <w:p>
      <w:pPr>
        <w:pStyle w:val="BodyTextIndent"/>
        <w:rPr>
          <w:sz w:val="22"/>
        </w:rPr>
      </w:pPr>
      <w:r>
        <w:rPr>
          <w:sz w:val="22"/>
        </w:rPr>
        <w:tab/>
        <w:t>2. (a)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Swaption:</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320" w:leader="none"/>
                <w:tab w:val="left" w:pos="6480" w:leader="none"/>
              </w:tabs>
              <w:ind w:start="0" w:end="0"/>
              <w:rPr>
                <w:sz w:val="22"/>
              </w:rPr>
            </w:pPr>
            <w:r>
              <w:rPr>
                <w:sz w:val="22"/>
              </w:rPr>
              <w:t>Trade Date: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March 6,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Style: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American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Option Type:</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Swaption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Seller: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Counterparty</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Buyer:</w:t>
            </w:r>
          </w:p>
        </w:tc>
        <w:tc>
          <w:tcPr>
            <w:tcW w:w="4428" w:type="dxa"/>
            <w:tcBorders/>
          </w:tcPr>
          <w:p>
            <w:pPr>
              <w:pStyle w:val="BodyTextIndent"/>
              <w:tabs>
                <w:tab w:val="clear" w:pos="90"/>
                <w:tab w:val="left" w:pos="0" w:leader="none"/>
                <w:tab w:val="left" w:pos="2160" w:leader="none"/>
                <w:tab w:val="left" w:pos="4140" w:leader="none"/>
                <w:tab w:val="left" w:pos="6480" w:leader="none"/>
              </w:tabs>
              <w:ind w:start="0" w:end="0"/>
              <w:rPr>
                <w:sz w:val="22"/>
              </w:rPr>
            </w:pPr>
            <w:r>
              <w:rPr>
                <w:sz w:val="22"/>
              </w:rPr>
              <w:t>ENA</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clear" w:pos="90"/>
                <w:tab w:val="left" w:pos="0" w:leader="none"/>
                <w:tab w:val="left" w:pos="2160" w:leader="none"/>
                <w:tab w:val="left" w:pos="4140" w:leader="none"/>
                <w:tab w:val="left" w:pos="6480" w:leader="none"/>
              </w:tabs>
              <w:snapToGrid w:val="false"/>
              <w:ind w:start="0" w:end="0"/>
              <w:jc w:val="start"/>
              <w:rPr>
                <w:sz w:val="22"/>
              </w:rPr>
            </w:pPr>
            <w:r>
              <w:rPr>
                <w:sz w:val="22"/>
              </w:rPr>
            </w:r>
          </w:p>
        </w:tc>
      </w:tr>
    </w:tbl>
    <w:p>
      <w:pPr>
        <w:pStyle w:val="BodyTextIndent"/>
        <w:tabs>
          <w:tab w:val="clear" w:pos="90"/>
          <w:tab w:val="left" w:pos="0" w:leader="none"/>
          <w:tab w:val="left" w:pos="810" w:leader="none"/>
          <w:tab w:val="left" w:pos="2160" w:leader="none"/>
          <w:tab w:val="left" w:pos="4140" w:leader="none"/>
          <w:tab w:val="left" w:pos="6480" w:leader="none"/>
        </w:tabs>
        <w:ind w:hanging="4860" w:start="4140" w:end="-630"/>
        <w:jc w:val="start"/>
        <w:rPr>
          <w:b/>
          <w:sz w:val="22"/>
          <w:u w:val="single"/>
        </w:rPr>
      </w:pPr>
      <w:r>
        <w:rPr>
          <w:b/>
          <w:sz w:val="22"/>
          <w:u w:val="single"/>
        </w:rPr>
        <w:t>Procedure for Exercise:</w:t>
      </w:r>
    </w:p>
    <w:p>
      <w:pPr>
        <w:pStyle w:val="BodyTextIndent"/>
        <w:tabs>
          <w:tab w:val="left" w:pos="90" w:leader="none"/>
          <w:tab w:val="left" w:pos="2160" w:leader="none"/>
          <w:tab w:val="left" w:pos="4140" w:leader="none"/>
          <w:tab w:val="left" w:pos="6480" w:leader="none"/>
        </w:tabs>
        <w:ind w:hanging="4860" w:start="4140" w:end="-630"/>
        <w:jc w:val="start"/>
        <w:rPr>
          <w:b/>
          <w:sz w:val="22"/>
          <w:u w:val="single"/>
        </w:rPr>
      </w:pPr>
      <w:r>
        <w:rPr>
          <w:b/>
          <w:sz w:val="22"/>
          <w:u w:val="single"/>
        </w:rPr>
      </w:r>
    </w:p>
    <w:tbl>
      <w:tblPr>
        <w:tblW w:w="8748" w:type="dxa"/>
        <w:jc w:val="start"/>
        <w:tblInd w:w="108" w:type="dxa"/>
        <w:tblLayout w:type="fixed"/>
        <w:tblCellMar>
          <w:top w:w="0" w:type="dxa"/>
          <w:start w:w="108" w:type="dxa"/>
          <w:bottom w:w="0" w:type="dxa"/>
          <w:end w:w="108" w:type="dxa"/>
        </w:tblCellMar>
      </w:tblPr>
      <w:tblGrid>
        <w:gridCol w:w="4320"/>
        <w:gridCol w:w="4428"/>
      </w:tblGrid>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Exercise Period:</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From and including March 6, 2000 to and including April 30, 2000 between 8:00 a.m. and 5:00 p.m. (local time in Houston, Texas)</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Expiration Date:</w:t>
            </w:r>
          </w:p>
        </w:tc>
        <w:tc>
          <w:tcPr>
            <w:tcW w:w="4428"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April 30, 2000</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Notice of Exercise:</w:t>
            </w:r>
          </w:p>
        </w:tc>
        <w:tc>
          <w:tcPr>
            <w:tcW w:w="4428" w:type="dxa"/>
            <w:tcBorders/>
          </w:tcPr>
          <w:p>
            <w:pPr>
              <w:pStyle w:val="BodyTextIndent"/>
              <w:tabs>
                <w:tab w:val="clear" w:pos="90"/>
                <w:tab w:val="clear" w:pos="2160"/>
                <w:tab w:val="clear" w:pos="6480"/>
              </w:tabs>
              <w:ind w:start="0" w:end="0"/>
              <w:rPr>
                <w:sz w:val="22"/>
              </w:rPr>
            </w:pPr>
            <w:r>
              <w:rPr>
                <w:sz w:val="22"/>
              </w:rPr>
              <w:t>An irrevocable notice given by ENA to Counterparty (which may be given orally, including by telephone, or in writing) of its election to enter into the Underlying Transaction</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Automatic Exercise:</w:t>
            </w:r>
          </w:p>
        </w:tc>
        <w:tc>
          <w:tcPr>
            <w:tcW w:w="4428" w:type="dxa"/>
            <w:tcBorders/>
          </w:tcPr>
          <w:p>
            <w:pPr>
              <w:pStyle w:val="BodyTextIndent"/>
              <w:tabs>
                <w:tab w:val="clear" w:pos="90"/>
                <w:tab w:val="clear" w:pos="2160"/>
                <w:tab w:val="clear" w:pos="6480"/>
              </w:tabs>
              <w:ind w:start="0" w:end="0"/>
              <w:rPr>
                <w:sz w:val="22"/>
              </w:rPr>
            </w:pPr>
            <w:r>
              <w:rPr>
                <w:sz w:val="22"/>
              </w:rPr>
              <w:t>Inapplicable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Written Confirmation of Notice of Exercise:</w:t>
            </w:r>
          </w:p>
        </w:tc>
        <w:tc>
          <w:tcPr>
            <w:tcW w:w="4428" w:type="dxa"/>
            <w:tcBorders/>
          </w:tcPr>
          <w:p>
            <w:pPr>
              <w:pStyle w:val="BodyTextIndent"/>
              <w:tabs>
                <w:tab w:val="clear" w:pos="90"/>
                <w:tab w:val="clear" w:pos="2160"/>
                <w:tab w:val="clear" w:pos="6480"/>
              </w:tabs>
              <w:ind w:start="0" w:end="0"/>
              <w:rPr>
                <w:strike/>
                <w:sz w:val="22"/>
              </w:rPr>
            </w:pPr>
            <w:r>
              <w:rPr>
                <w:sz w:val="22"/>
              </w:rPr>
              <w:t>Applicable, provided however, that failure to give such written Notice of Exercise shall in no way affect or suspend the validity of the Notice of Exercise</w:t>
            </w:r>
          </w:p>
        </w:tc>
      </w:tr>
      <w:tr>
        <w:trPr/>
        <w:tc>
          <w:tcPr>
            <w:tcW w:w="4320" w:type="dxa"/>
            <w:tcBorders/>
          </w:tcPr>
          <w:p>
            <w:pPr>
              <w:pStyle w:val="BodyTextIndent"/>
              <w:tabs>
                <w:tab w:val="left" w:pos="90" w:leader="none"/>
                <w:tab w:val="left" w:pos="2160" w:leader="none"/>
                <w:tab w:val="left" w:pos="4140" w:leader="none"/>
                <w:tab w:val="left" w:pos="6480" w:leader="none"/>
              </w:tabs>
              <w:snapToGrid w:val="false"/>
              <w:ind w:start="0" w:end="-630"/>
              <w:jc w:val="start"/>
              <w:rPr>
                <w:strike/>
                <w:sz w:val="22"/>
              </w:rPr>
            </w:pPr>
            <w:r>
              <w:rPr>
                <w:strike/>
                <w:sz w:val="22"/>
              </w:rPr>
            </w:r>
          </w:p>
        </w:tc>
        <w:tc>
          <w:tcPr>
            <w:tcW w:w="4428" w:type="dxa"/>
            <w:tcBorders/>
          </w:tcPr>
          <w:p>
            <w:pPr>
              <w:pStyle w:val="BodyTextIndent"/>
              <w:tabs>
                <w:tab w:val="clear" w:pos="90"/>
                <w:tab w:val="clear" w:pos="2160"/>
                <w:tab w:val="clear" w:pos="6480"/>
              </w:tabs>
              <w:snapToGrid w:val="false"/>
              <w:ind w:start="0" w:end="0"/>
              <w:rPr>
                <w:sz w:val="22"/>
              </w:rPr>
            </w:pPr>
            <w:r>
              <w:rPr>
                <w:sz w:val="22"/>
              </w:rPr>
            </w:r>
          </w:p>
        </w:tc>
      </w:tr>
      <w:tr>
        <w:trPr/>
        <w:tc>
          <w:tcPr>
            <w:tcW w:w="4320" w:type="dxa"/>
            <w:tcBorders/>
          </w:tcPr>
          <w:p>
            <w:pPr>
              <w:pStyle w:val="BodyTextIndent"/>
              <w:tabs>
                <w:tab w:val="left" w:pos="90" w:leader="none"/>
                <w:tab w:val="left" w:pos="2160" w:leader="none"/>
                <w:tab w:val="left" w:pos="4140" w:leader="none"/>
                <w:tab w:val="left" w:pos="6480" w:leader="none"/>
              </w:tabs>
              <w:ind w:start="0" w:end="-630"/>
              <w:jc w:val="start"/>
              <w:rPr>
                <w:sz w:val="22"/>
              </w:rPr>
            </w:pPr>
            <w:r>
              <w:rPr>
                <w:sz w:val="22"/>
              </w:rPr>
              <w:t>Additional Provisions:</w:t>
            </w:r>
          </w:p>
        </w:tc>
        <w:tc>
          <w:tcPr>
            <w:tcW w:w="4428" w:type="dxa"/>
            <w:tcBorders/>
          </w:tcPr>
          <w:p>
            <w:pPr>
              <w:pStyle w:val="BodyTextIndent"/>
              <w:numPr>
                <w:ilvl w:val="0"/>
                <w:numId w:val="2"/>
              </w:numPr>
              <w:tabs>
                <w:tab w:val="clear" w:pos="90"/>
                <w:tab w:val="clear" w:pos="2160"/>
                <w:tab w:val="clear" w:pos="6480"/>
              </w:tabs>
              <w:rPr>
                <w:sz w:val="22"/>
              </w:rPr>
            </w:pPr>
            <w:r>
              <w:rPr>
                <w:sz w:val="22"/>
              </w:rPr>
              <w:t>The execution of this Transaction is conditioned upon the execution by the parties of the Agreement on or before the Expiration Date.</w:t>
            </w:r>
          </w:p>
          <w:p>
            <w:pPr>
              <w:pStyle w:val="BodyTextIndent"/>
              <w:numPr>
                <w:ilvl w:val="0"/>
                <w:numId w:val="2"/>
              </w:numPr>
              <w:tabs>
                <w:tab w:val="clear" w:pos="90"/>
                <w:tab w:val="clear" w:pos="2160"/>
                <w:tab w:val="clear" w:pos="6480"/>
              </w:tabs>
              <w:rPr>
                <w:sz w:val="22"/>
              </w:rPr>
            </w:pPr>
            <w:r>
              <w:rPr>
                <w:sz w:val="22"/>
              </w:rPr>
              <w:t>If the Agreement is executed on or before the Expiration Date and ENA does give Notice of Exercise on or before the Expiration Date, then (i) ENA shall pay to Counterparty the sum of U.S. $500,000.00 whithin five (5) Business Days after the Notice of Exercise is given, (ii) ENA Deal No. N11647.1 shall be revised only to change the Termination Date to June 30, 2000, without affecting payments due for the Determination Periods ending on March 31, 2000 and June 30, 2000 and (iii) ENA Deal No. N11648.1 shall be terminated without further action or payment required by either party.</w:t>
            </w:r>
          </w:p>
          <w:p>
            <w:pPr>
              <w:pStyle w:val="BodyTextIndent"/>
              <w:numPr>
                <w:ilvl w:val="0"/>
                <w:numId w:val="2"/>
              </w:numPr>
              <w:tabs>
                <w:tab w:val="clear" w:pos="90"/>
                <w:tab w:val="clear" w:pos="2160"/>
                <w:tab w:val="clear" w:pos="6480"/>
              </w:tabs>
              <w:rPr>
                <w:sz w:val="22"/>
              </w:rPr>
            </w:pPr>
            <w:r>
              <w:rPr>
                <w:sz w:val="22"/>
              </w:rPr>
              <w:t>If the Agreement is executed and if ENA does not give Notice of Exercise on or before the Expiration Date but ENA does agree to a financially settled 42 lb. Unbleached Kraftliner derivative transaction with Re-Box Paper Inc. after the Trade Date but prior to the Expiration Date, then ENA shall pay to Counterparty the sum of U.S. $200,000.00 within five (5) Business Days after the Expiration Date.</w:t>
            </w:r>
          </w:p>
          <w:p>
            <w:pPr>
              <w:pStyle w:val="BodyTextIndent"/>
              <w:numPr>
                <w:ilvl w:val="0"/>
                <w:numId w:val="2"/>
              </w:numPr>
              <w:tabs>
                <w:tab w:val="clear" w:pos="90"/>
                <w:tab w:val="clear" w:pos="2160"/>
                <w:tab w:val="clear" w:pos="6480"/>
              </w:tabs>
              <w:rPr>
                <w:sz w:val="22"/>
              </w:rPr>
            </w:pPr>
            <w:r>
              <w:rPr>
                <w:sz w:val="22"/>
              </w:rPr>
              <w:t>Neither party shall have any further obligation or owe any payment to the other party if the Agreement is not executed and if ENA does not give Notice of Exercise on or before the Expiration Date.</w:t>
            </w:r>
          </w:p>
        </w:tc>
      </w:tr>
    </w:tbl>
    <w:p>
      <w:pPr>
        <w:pStyle w:val="BodyTextIndent"/>
        <w:tabs>
          <w:tab w:val="left" w:pos="90" w:leader="none"/>
          <w:tab w:val="left" w:pos="810" w:leader="none"/>
          <w:tab w:val="left" w:pos="2160" w:leader="none"/>
          <w:tab w:val="left" w:pos="4140" w:leader="none"/>
          <w:tab w:val="left" w:pos="6480" w:leader="none"/>
        </w:tabs>
        <w:ind w:end="-630"/>
        <w:jc w:val="start"/>
        <w:rPr>
          <w:b/>
          <w:sz w:val="22"/>
        </w:rPr>
      </w:pPr>
      <w:r>
        <w:rPr>
          <w:b/>
          <w:sz w:val="22"/>
        </w:rPr>
        <w:t xml:space="preserve"> </w:t>
      </w:r>
      <w:r>
        <w:rPr>
          <w:b/>
          <w:sz w:val="22"/>
        </w:rPr>
        <w:t>(b) 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Total Notional Quantity: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120,000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hanging="720" w:start="720" w:end="0"/>
              <w:rPr>
                <w:sz w:val="22"/>
              </w:rPr>
            </w:pPr>
            <w:r>
              <w:rPr>
                <w:sz w:val="22"/>
              </w:rPr>
              <w:t>Notional Quantity per Calculation Period:</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2,500 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42 lb. Unbleached Kraftliner</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Commodity Unit:</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Short Tons</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Effective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July 1, 2000</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Termination Date:</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June 30,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Calculation Periods: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sz w:val="22"/>
              </w:rPr>
            </w:pPr>
            <w:r>
              <w:rPr>
                <w:color w:val="000000"/>
                <w:sz w:val="22"/>
              </w:rPr>
              <w:t>Monthly periods, with the first Calculation Period commencing on July 1, 2000 and the final Calculation Period ending on June 30, 2004</w:t>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c>
          <w:tcPr>
            <w:tcW w:w="4428" w:type="dxa"/>
            <w:tcBorders/>
          </w:tcPr>
          <w:p>
            <w:pPr>
              <w:pStyle w:val="BodyTextIndent"/>
              <w:tabs>
                <w:tab w:val="left" w:pos="90" w:leader="none"/>
                <w:tab w:val="left" w:pos="810" w:leader="none"/>
                <w:tab w:val="left" w:pos="2160" w:leader="none"/>
                <w:tab w:val="left" w:pos="4140" w:leader="none"/>
                <w:tab w:val="left" w:pos="6480" w:leader="none"/>
              </w:tabs>
              <w:snapToGrid w:val="false"/>
              <w:ind w:start="0" w:end="-630"/>
              <w:jc w:val="start"/>
              <w:rPr>
                <w:sz w:val="22"/>
              </w:rPr>
            </w:pPr>
            <w:r>
              <w:rPr>
                <w:sz w:val="22"/>
              </w:rPr>
            </w:r>
          </w:p>
        </w:tc>
      </w:tr>
      <w:tr>
        <w:trPr/>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630"/>
              <w:jc w:val="start"/>
              <w:rPr>
                <w:sz w:val="22"/>
              </w:rPr>
            </w:pPr>
            <w:r>
              <w:rPr>
                <w:sz w:val="22"/>
              </w:rPr>
              <w:t>Payment Date(s):</w:t>
            </w:r>
          </w:p>
        </w:tc>
        <w:tc>
          <w:tcPr>
            <w:tcW w:w="4428" w:type="dxa"/>
            <w:tcBorders/>
          </w:tcPr>
          <w:p>
            <w:pPr>
              <w:pStyle w:val="BodyTextIndent"/>
              <w:tabs>
                <w:tab w:val="left" w:pos="90" w:leader="none"/>
                <w:tab w:val="left" w:pos="810" w:leader="none"/>
                <w:tab w:val="left" w:pos="2160" w:leader="none"/>
                <w:tab w:val="left" w:pos="4140" w:leader="none"/>
                <w:tab w:val="left" w:pos="6480" w:leader="none"/>
              </w:tabs>
              <w:ind w:start="0" w:end="0"/>
              <w:rPr/>
            </w:pPr>
            <w:r>
              <w:rPr>
                <w:sz w:val="22"/>
              </w:rPr>
              <w:t>The fifth (5</w:t>
            </w:r>
            <w:r>
              <w:rPr>
                <w:sz w:val="22"/>
                <w:vertAlign w:val="superscript"/>
              </w:rPr>
              <w:t>th</w:t>
            </w:r>
            <w:r>
              <w:rPr>
                <w:sz w:val="22"/>
              </w:rPr>
              <w:t>) Business Day following the last Pricing Date for the applicable Calculation Period</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b/>
                <w:sz w:val="22"/>
              </w:rPr>
            </w:pPr>
            <w:r>
              <w:rPr>
                <w:sz w:val="22"/>
              </w:rPr>
              <w:t>Fixed Price Payer:</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Counterparty</w:t>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Fixed Price:</w:t>
            </w:r>
          </w:p>
        </w:tc>
        <w:tc>
          <w:tcPr>
            <w:tcW w:w="4428" w:type="dxa"/>
            <w:tcBorders/>
          </w:tcPr>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t>For each Calculation Period commencing on July 1, 2000 and ending on June 30, 2003, the Fixed Price is U.S. $425.00 per Short Ton.</w:t>
            </w:r>
          </w:p>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start="0" w:end="0"/>
              <w:rPr/>
            </w:pPr>
            <w:r>
              <w:rPr>
                <w:sz w:val="22"/>
              </w:rPr>
              <w:t xml:space="preserve">For each Calculation Period commencing on July 1, 2003 and ending on June 30, 2004 the Fixed Price shall be the product of (a) 110%, and (b) the lower of (i) U.S. $425.00 per Short Ton or (ii) the mean of the arithmetic average of the high and low price per Short Ton of 42 lb. Unbleached Kraftliner, stated in U.S. Dollars, delivered in the Eastern U.S., published under the headings: “Price Watch: Paperboard/Packaging: Grade: Linerboard (42–lb): Unbleached kraft, East” in the issue of </w:t>
            </w:r>
            <w:r>
              <w:rPr>
                <w:sz w:val="22"/>
                <w:u w:val="single"/>
              </w:rPr>
              <w:t>Pulp &amp; Paper Week</w:t>
            </w:r>
            <w:r>
              <w:rPr>
                <w:sz w:val="22"/>
              </w:rPr>
              <w:t xml:space="preserve"> that reports prices effective on the Pricing Date for each month from and including January 2003 to and including June 2003.</w:t>
            </w:r>
          </w:p>
        </w:tc>
      </w:tr>
    </w:tbl>
    <w:p>
      <w:pPr>
        <w:pStyle w:val="BodyTextIndent"/>
        <w:tabs>
          <w:tab w:val="left" w:pos="9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 Payer:</w:t>
            </w:r>
          </w:p>
        </w:tc>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ENA</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Floating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Floating Price for each Calculation Period shall be the arithmetic average of the high and low price per Short Ton of 42 lb. Unbleached Kraftliner, stated in U.S. Dollars, delivered in the Eastern U.S., published under the headings: “Price Watch: Paperboard/Packaging: Grade: Linerboard (42–lb): Unbleached kraft, East” in the issue of  </w:t>
            </w:r>
            <w:r>
              <w:rPr>
                <w:sz w:val="22"/>
                <w:u w:val="single"/>
              </w:rPr>
              <w:t>Pulp &amp; Paper Week</w:t>
            </w:r>
            <w:r>
              <w:rPr>
                <w:sz w:val="22"/>
              </w:rPr>
              <w:t xml:space="preserve"> that reports prices effective on the Pricing Date for such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Pricing Date: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Date of publication of </w:t>
            </w:r>
            <w:r>
              <w:rPr>
                <w:sz w:val="22"/>
                <w:u w:val="single"/>
              </w:rPr>
              <w:t>Pulp &amp; Paper Week</w:t>
            </w:r>
            <w:r>
              <w:rPr>
                <w:sz w:val="22"/>
              </w:rPr>
              <w:t>, or any successor publication, published by Miller Freeman Inc. or its successor (such publication, “</w:t>
            </w:r>
            <w:r>
              <w:rPr>
                <w:sz w:val="22"/>
                <w:u w:val="single"/>
              </w:rPr>
              <w:t>Pulp &amp; Paper Week</w:t>
            </w:r>
            <w:r>
              <w:rPr>
                <w:sz w:val="22"/>
              </w:rPr>
              <w:t>”) for the applicable Calculation Period</w:t>
            </w:r>
          </w:p>
        </w:tc>
      </w:tr>
      <w:tr>
        <w:trPr/>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c>
          <w:tcPr>
            <w:tcW w:w="4428" w:type="dxa"/>
            <w:tcBorders/>
          </w:tcPr>
          <w:p>
            <w:pPr>
              <w:pStyle w:val="BodyTextIndent"/>
              <w:tabs>
                <w:tab w:val="left" w:pos="90" w:leader="none"/>
                <w:tab w:val="left" w:pos="2160" w:leader="none"/>
                <w:tab w:val="left" w:pos="4140" w:leader="none"/>
                <w:tab w:val="left" w:pos="6480" w:leader="none"/>
              </w:tabs>
              <w:snapToGrid w:val="false"/>
              <w:ind w:start="0" w:end="0"/>
              <w:rPr>
                <w:sz w:val="22"/>
              </w:rPr>
            </w:pPr>
            <w:r>
              <w:rPr>
                <w:sz w:val="22"/>
              </w:rPr>
            </w:r>
          </w:p>
        </w:tc>
      </w:tr>
      <w:tr>
        <w:trPr/>
        <w:tc>
          <w:tcPr>
            <w:tcW w:w="4428" w:type="dxa"/>
            <w:tcBorders/>
          </w:tcPr>
          <w:p>
            <w:pPr>
              <w:pStyle w:val="BodyTextIndent"/>
              <w:tabs>
                <w:tab w:val="left" w:pos="90" w:leader="none"/>
                <w:tab w:val="left" w:pos="2160" w:leader="none"/>
                <w:tab w:val="left" w:pos="4140" w:leader="none"/>
                <w:tab w:val="left" w:pos="6480" w:leader="none"/>
              </w:tabs>
              <w:ind w:start="0" w:end="0"/>
              <w:rPr>
                <w:sz w:val="22"/>
              </w:rPr>
            </w:pPr>
            <w:r>
              <w:rPr>
                <w:sz w:val="22"/>
              </w:rPr>
              <w:t>Fallback Reference Price:</w:t>
            </w:r>
          </w:p>
        </w:tc>
        <w:tc>
          <w:tcPr>
            <w:tcW w:w="4428" w:type="dxa"/>
            <w:tcBorders/>
          </w:tcPr>
          <w:p>
            <w:pPr>
              <w:pStyle w:val="BodyTextIndent"/>
              <w:tabs>
                <w:tab w:val="left" w:pos="90" w:leader="none"/>
                <w:tab w:val="left" w:pos="2160" w:leader="none"/>
                <w:tab w:val="left" w:pos="4140" w:leader="none"/>
                <w:tab w:val="left" w:pos="6480" w:leader="none"/>
              </w:tabs>
              <w:ind w:start="0" w:end="0"/>
              <w:rPr/>
            </w:pPr>
            <w:r>
              <w:rPr>
                <w:sz w:val="22"/>
              </w:rPr>
              <w:t xml:space="preserve">The Fallback Reference Price for any Calculation Period shall be an amount equal to the sum of (a) the price per </w:t>
            </w:r>
            <w:r>
              <w:rPr>
                <w:color w:val="FF0000"/>
                <w:sz w:val="22"/>
              </w:rPr>
              <w:t>Short Ton</w:t>
            </w:r>
            <w:r>
              <w:rPr>
                <w:sz w:val="22"/>
              </w:rPr>
              <w:t xml:space="preserve"> of </w:t>
            </w:r>
            <w:r>
              <w:rPr>
                <w:color w:val="FF0000"/>
                <w:sz w:val="22"/>
              </w:rPr>
              <w:t>42 Lb. Unbleached Kraftliner</w:t>
            </w:r>
            <w:r>
              <w:rPr>
                <w:sz w:val="22"/>
              </w:rPr>
              <w:t>, stated in U.S. Dollars, delivered in the Eastern U.S., published under the heading: “</w:t>
            </w:r>
            <w:r>
              <w:rPr>
                <w:color w:val="FF0000"/>
                <w:sz w:val="22"/>
              </w:rPr>
              <w:t>Table 2: Paper Packaging Monthly Price Summary: Dollars per Short Ton: Containerboard: 42 Lb. Unbleached Kraftliner: Eastern U.S.: Price</w:t>
            </w:r>
            <w:r>
              <w:rPr>
                <w:sz w:val="22"/>
              </w:rPr>
              <w:t xml:space="preserve">” in the issue of </w:t>
            </w:r>
            <w:r>
              <w:rPr>
                <w:color w:val="FF0000"/>
                <w:sz w:val="22"/>
                <w:u w:val="single"/>
              </w:rPr>
              <w:t>Paper Packaging Monitor</w:t>
            </w:r>
            <w:r>
              <w:rPr>
                <w:sz w:val="22"/>
              </w:rPr>
              <w:t xml:space="preserve"> (or its successor publication, as published by </w:t>
            </w:r>
            <w:r>
              <w:rPr>
                <w:color w:val="FF0000"/>
                <w:sz w:val="22"/>
              </w:rPr>
              <w:t>Resource Information Systems, Inc.</w:t>
            </w:r>
            <w:r>
              <w:rPr>
                <w:sz w:val="22"/>
              </w:rPr>
              <w:t xml:space="preserve">, or its successor) that reports prices effective for such Calculation Period and (b) an amount (which may be negative) equal to the difference between (i) the average of the prices per </w:t>
            </w:r>
            <w:r>
              <w:rPr>
                <w:color w:val="FF0000"/>
                <w:sz w:val="22"/>
              </w:rPr>
              <w:t>Short Ton</w:t>
            </w:r>
            <w:r>
              <w:rPr>
                <w:sz w:val="22"/>
              </w:rPr>
              <w:t xml:space="preserve"> of </w:t>
            </w:r>
            <w:r>
              <w:rPr>
                <w:color w:val="FF0000"/>
                <w:sz w:val="22"/>
              </w:rPr>
              <w:t>42 Lb. Unbleached Kraftliner</w:t>
            </w:r>
            <w:r>
              <w:rPr>
                <w:sz w:val="22"/>
              </w:rPr>
              <w:t xml:space="preserve"> as determined in accordance with the definition of ‘Floating Price’ above for each month in which such price is available for the twelve calendar months immediately preceding the relevant Calculation Period and (ii) the average of the prices per </w:t>
            </w:r>
            <w:r>
              <w:rPr>
                <w:color w:val="FF0000"/>
                <w:sz w:val="22"/>
              </w:rPr>
              <w:t>Short Ton</w:t>
            </w:r>
            <w:r>
              <w:rPr>
                <w:sz w:val="22"/>
              </w:rPr>
              <w:t xml:space="preserve"> of </w:t>
            </w:r>
            <w:r>
              <w:rPr>
                <w:color w:val="FF0000"/>
                <w:sz w:val="22"/>
              </w:rPr>
              <w:t>42 Lb. Unbleached Kraftliner</w:t>
            </w:r>
            <w:r>
              <w:rPr>
                <w:sz w:val="22"/>
              </w:rPr>
              <w:t xml:space="preserve"> as determined in accordance with subsection (a) above for each month in which such price is available for the twelve calendar months immediately preceding the relevant Calculation Period.</w:t>
            </w:r>
          </w:p>
        </w:tc>
      </w:tr>
    </w:tbl>
    <w:p>
      <w:pPr>
        <w:pStyle w:val="BodyTextIndent"/>
        <w:tabs>
          <w:tab w:val="clear" w:pos="90"/>
          <w:tab w:val="left" w:pos="0" w:leader="none"/>
          <w:tab w:val="left" w:pos="2160" w:leader="none"/>
          <w:tab w:val="left" w:pos="4140" w:leader="none"/>
          <w:tab w:val="left" w:pos="6480" w:leader="none"/>
        </w:tabs>
        <w:ind w:hanging="4860" w:start="4140" w:end="0"/>
        <w:rPr>
          <w:sz w:val="22"/>
          <w:u w:val="single"/>
        </w:rPr>
      </w:pPr>
      <w:r>
        <w:rPr>
          <w:sz w:val="22"/>
          <w:u w:val="single"/>
        </w:rPr>
      </w:r>
    </w:p>
    <w:p>
      <w:pPr>
        <w:pStyle w:val="BodyTextIndent"/>
        <w:tabs>
          <w:tab w:val="left" w:pos="90" w:leader="none"/>
          <w:tab w:val="left" w:pos="2160" w:leader="none"/>
          <w:tab w:val="left" w:pos="4320" w:leader="none"/>
          <w:tab w:val="left" w:pos="6480" w:leader="none"/>
        </w:tabs>
        <w:ind w:start="0" w:end="0"/>
        <w:rPr>
          <w:sz w:val="22"/>
        </w:rPr>
      </w:pPr>
      <w:r>
        <w:rPr>
          <w:sz w:val="22"/>
        </w:rPr>
        <w:tab/>
      </w:r>
    </w:p>
    <w:p>
      <w:pPr>
        <w:pStyle w:val="BodyTextIndent"/>
        <w:tabs>
          <w:tab w:val="left" w:pos="90" w:leader="none"/>
          <w:tab w:val="left" w:pos="2160" w:leader="none"/>
          <w:tab w:val="left" w:pos="4320" w:leader="none"/>
          <w:tab w:val="left" w:pos="6480" w:leader="none"/>
        </w:tabs>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by sending to us a letter substantially similar to this letter, which letter sets forth the material terms of the Transaction to which this letter, to which this Confirmation relates and indicates agreement to those terms.</w:t>
      </w:r>
    </w:p>
    <w:p>
      <w:pPr>
        <w:pStyle w:val="BodyTextIndent"/>
        <w:tabs>
          <w:tab w:val="left" w:pos="90" w:leader="none"/>
          <w:tab w:val="left" w:pos="2160" w:leader="none"/>
          <w:tab w:val="left" w:pos="4320" w:leader="none"/>
          <w:tab w:val="left" w:pos="6480" w:leader="none"/>
        </w:tabs>
        <w:rPr>
          <w:sz w:val="22"/>
        </w:rPr>
      </w:pPr>
      <w:r>
        <w:rPr>
          <w:sz w:val="22"/>
        </w:rPr>
        <w:tab/>
        <w:tab/>
        <w:tab/>
      </w:r>
    </w:p>
    <w:p>
      <w:pPr>
        <w:pStyle w:val="BodyTextIndent"/>
        <w:tabs>
          <w:tab w:val="left" w:pos="90" w:leader="none"/>
          <w:tab w:val="left" w:pos="2160" w:leader="none"/>
          <w:tab w:val="left" w:pos="4140" w:leader="none"/>
          <w:tab w:val="left" w:pos="6480" w:leader="none"/>
        </w:tabs>
        <w:rPr>
          <w:sz w:val="22"/>
        </w:rPr>
      </w:pPr>
      <w:r>
        <w:rPr>
          <w:sz w:val="22"/>
        </w:rPr>
        <w:tab/>
        <w:tab/>
        <w:tab/>
        <w:t>Yours 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ab/>
        <w:tab/>
        <w:tab/>
        <w:t>Enron North America Corp.</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 xml:space="preserve">By: </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Name: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ab/>
        <w:tab/>
        <w:tab/>
        <w:tab/>
        <w:t>Title:</w:t>
        <w:tab/>
        <w:t>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ind w:start="0" w:end="0"/>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 xml:space="preserve">Contract No. </w:t>
      </w:r>
      <w:r>
        <w:rPr>
          <w:color w:val="0000FF"/>
          <w:sz w:val="22"/>
        </w:rPr>
        <w:t>NB5378.1</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Confirmed as of date first above written:</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sz w:val="22"/>
        </w:rPr>
        <w:t>The Dial Corporation</w:t>
      </w:r>
    </w:p>
    <w:p>
      <w:pPr>
        <w:pStyle w:val="BodyTextIndent"/>
        <w:tabs>
          <w:tab w:val="left" w:pos="90" w:leader="none"/>
          <w:tab w:val="left" w:pos="810" w:leader="none"/>
          <w:tab w:val="left" w:pos="2160" w:leader="none"/>
          <w:tab w:val="left" w:pos="4320" w:leader="none"/>
          <w:tab w:val="left" w:pos="5040" w:leader="none"/>
          <w:tab w:val="left" w:pos="6480" w:leader="none"/>
        </w:tabs>
        <w:rPr>
          <w:color w:val="0000FF"/>
          <w:sz w:val="22"/>
        </w:rPr>
      </w:pPr>
      <w:r>
        <w:rPr>
          <w:color w:val="0000FF"/>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By:  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22"/>
        </w:rPr>
      </w:pPr>
      <w:r>
        <w:rPr>
          <w:sz w:val="22"/>
        </w:rPr>
        <w:t>Name:  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pPr>
      <w:r>
        <w:rPr/>
        <w:t>Title:  _______________________________</w:t>
      </w:r>
    </w:p>
    <w:sectPr>
      <w:headerReference w:type="default" r:id="rId3"/>
      <w:footerReference w:type="default" r:id="rId4"/>
      <w:type w:val="nextPage"/>
      <w:pgSz w:w="12240" w:h="15840"/>
      <w:pgMar w:left="1800" w:right="1800" w:gutter="0" w:header="540" w:top="765" w:footer="390" w:bottom="63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sz w:val="16"/>
      </w:rPr>
      <w:t xml:space="preserve">Deal No. </w:t>
    </w:r>
    <w:r>
      <w:rPr>
        <w:rFonts w:cs="Arial" w:ascii="Arial" w:hAnsi="Arial"/>
        <w:color w:val="0000FF"/>
        <w:sz w:val="16"/>
      </w:rPr>
      <w:t>NB5378.1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55"/>
        </w:tabs>
        <w:ind w:start="555" w:hanging="555"/>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2000-03-13T12:52:00Z</dcterms:created>
  <dc:creator>wende warren</dc:creator>
  <dc:description/>
  <dc:language>en-CA</dc:language>
  <cp:lastModifiedBy>sshackl</cp:lastModifiedBy>
  <cp:lastPrinted>2000-03-08T14:15:00Z</cp:lastPrinted>
  <dcterms:modified xsi:type="dcterms:W3CDTF">2000-03-13T12:56:00Z</dcterms:modified>
  <cp:revision>3</cp:revision>
  <dc:subject/>
  <dc:title> </dc:title>
</cp:coreProperties>
</file>