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rPr>
          <w:rFonts w:ascii="Arial Narrow" w:hAnsi="Arial Narrow" w:cs="Arial Narrow"/>
          <w:b/>
          <w:sz w:val="20"/>
        </w:rPr>
      </w:pPr>
      <w:r>
        <w:rPr>
          <w:rFonts w:cs="Arial Narrow" w:ascii="Arial Narrow" w:hAnsi="Arial Narrow"/>
          <w:b/>
          <w:sz w:val="20"/>
        </w:rPr>
      </w:r>
    </w:p>
    <w:p>
      <w:pPr>
        <w:pStyle w:val="Normal"/>
        <w:rPr>
          <w:rFonts w:ascii="Arial Narrow" w:hAnsi="Arial Narrow" w:cs="Arial Narrow"/>
          <w:b/>
          <w:sz w:val="20"/>
        </w:rPr>
      </w:pPr>
      <w:r>
        <w:rPr>
          <w:rFonts w:cs="Arial Narrow" w:ascii="Arial Narrow" w:hAnsi="Arial Narrow"/>
          <w:b/>
          <w:sz w:val="20"/>
        </w:rPr>
      </w:r>
    </w:p>
    <w:p>
      <w:pPr>
        <w:pStyle w:val="Normal"/>
        <w:rPr>
          <w:rFonts w:ascii="Arial Narrow" w:hAnsi="Arial Narrow" w:cs="Arial Narrow"/>
          <w:b/>
          <w:sz w:val="20"/>
        </w:rPr>
      </w:pPr>
      <w:r>
        <w:rPr>
          <w:rFonts w:cs="Arial Narrow" w:ascii="Arial Narrow" w:hAnsi="Arial Narrow"/>
          <w:b/>
          <w:sz w:val="20"/>
        </w:rPr>
      </w:r>
    </w:p>
    <w:p>
      <w:pPr>
        <w:pStyle w:val="Heading"/>
        <w:rPr>
          <w:sz w:val="20"/>
        </w:rPr>
      </w:pP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9820" cy="1127760"/>
                    </a:xfrm>
                    <a:prstGeom prst="rect">
                      <a:avLst/>
                    </a:prstGeom>
                    <a:noFill/>
                  </pic:spPr>
                </pic:pic>
              </a:graphicData>
            </a:graphic>
          </wp:inline>
        </w:drawing>
      </w:r>
      <w:r>
        <w:rPr>
          <w:sz w:val="20"/>
        </w:rPr>
        <w:tab/>
        <w:tab/>
        <w:tab/>
        <w:tab/>
      </w:r>
      <w:r>
        <w:rPr>
          <w:rFonts w:cs="Arial Narrow" w:ascii="Arial Narrow" w:hAnsi="Arial Narrow"/>
          <w:sz w:val="20"/>
        </w:rPr>
        <w:t>May 15, 2001</w:t>
      </w:r>
    </w:p>
    <w:p>
      <w:pPr>
        <w:pStyle w:val="Normal"/>
        <w:rPr>
          <w:rFonts w:ascii="Arial Narrow" w:hAnsi="Arial Narrow" w:cs="Arial Narrow"/>
          <w:b/>
          <w:sz w:val="20"/>
        </w:rPr>
      </w:pPr>
      <w:r>
        <w:rPr>
          <w:rFonts w:cs="Arial Narrow" w:ascii="Arial Narrow" w:hAnsi="Arial Narrow"/>
          <w:b/>
          <w:sz w:val="20"/>
        </w:rPr>
      </w:r>
    </w:p>
    <w:p>
      <w:pPr>
        <w:pStyle w:val="Normal"/>
        <w:rPr>
          <w:rFonts w:ascii="Arial Narrow" w:hAnsi="Arial Narrow" w:cs="Arial Narrow"/>
          <w:b/>
          <w:sz w:val="20"/>
        </w:rPr>
      </w:pPr>
      <w:r>
        <w:rPr>
          <w:rFonts w:cs="Arial Narrow" w:ascii="Arial Narrow" w:hAnsi="Arial Narrow"/>
          <w:b/>
          <w:sz w:val="20"/>
        </w:rPr>
      </w:r>
    </w:p>
    <w:p>
      <w:pPr>
        <w:pStyle w:val="Normal"/>
        <w:rPr>
          <w:rFonts w:ascii="Arial Narrow" w:hAnsi="Arial Narrow" w:cs="Arial Narrow"/>
          <w:b/>
          <w:sz w:val="20"/>
        </w:rPr>
      </w:pPr>
      <w:r>
        <w:rPr>
          <w:rFonts w:cs="Arial Narrow" w:ascii="Arial Narrow" w:hAnsi="Arial Narrow"/>
          <w:b/>
          <w:sz w:val="20"/>
        </w:rPr>
      </w:r>
    </w:p>
    <w:p>
      <w:pPr>
        <w:pStyle w:val="Normal"/>
        <w:rPr>
          <w:rFonts w:ascii="Arial Narrow" w:hAnsi="Arial Narrow" w:cs="Arial Narrow"/>
          <w:b/>
          <w:sz w:val="20"/>
        </w:rPr>
      </w:pPr>
      <w:r>
        <w:rPr>
          <w:rFonts w:cs="Arial Narrow" w:ascii="Arial Narrow" w:hAnsi="Arial Narrow"/>
          <w:b/>
          <w:sz w:val="20"/>
        </w:rPr>
        <w:t>Devon SFS Operating, Inc.</w:t>
      </w:r>
    </w:p>
    <w:p>
      <w:pPr>
        <w:pStyle w:val="Normal"/>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"SPOT"  CONFIRMATION--MASTER "SPOT" PURCHASE/SALE AGREEMENT GOVERNS</w:t>
      </w:r>
    </w:p>
    <w:p>
      <w:pPr>
        <w:pStyle w:val="Normal"/>
        <w:jc w:val="center"/>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b/>
          <w:sz w:val="20"/>
        </w:rPr>
      </w:pPr>
      <w:r>
        <w:rPr>
          <w:rFonts w:cs="Arial Narrow" w:ascii="Arial Narrow" w:hAnsi="Arial Narrow"/>
          <w:b/>
          <w:sz w:val="20"/>
        </w:rPr>
      </w:r>
    </w:p>
    <w:p>
      <w:pPr>
        <w:pStyle w:val="Normal"/>
        <w:jc w:val="both"/>
        <w:rPr/>
      </w:pPr>
      <w:r>
        <w:rPr>
          <w:rFonts w:cs="Arial Narrow" w:ascii="Arial Narrow" w:hAnsi="Arial Narrow"/>
          <w:sz w:val="20"/>
        </w:rPr>
        <w:t>This Spot Confirmation shall confirm the Transaction agreed to on the date hereof and binding between Citation 1994 Investment Limited Partnership, a Texas limited partnership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regarding the purchase and sale of Gas on the following terms.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b/>
          <w:sz w:val="20"/>
        </w:rPr>
        <w:t>TRANSACTION NUMBER:</w:t>
      </w:r>
      <w:r>
        <w:rPr>
          <w:rFonts w:cs="Arial Narrow" w:ascii="Arial Narrow" w:hAnsi="Arial Narrow"/>
          <w:sz w:val="20"/>
        </w:rPr>
        <w:t xml:space="preserve">  _______</w:t>
      </w:r>
    </w:p>
    <w:p>
      <w:pPr>
        <w:pStyle w:val="Normal"/>
        <w:tabs>
          <w:tab w:val="clear" w:pos="720"/>
          <w:tab w:val="left" w:pos="8640" w:leader="none"/>
        </w:tabs>
        <w:ind w:hanging="5580" w:start="5580" w:end="0"/>
        <w:jc w:val="both"/>
        <w:rPr/>
      </w:pPr>
      <w:r>
        <w:rPr>
          <w:rFonts w:cs="Arial Narrow" w:ascii="Arial Narrow" w:hAnsi="Arial Narrow"/>
          <w:b/>
          <w:sz w:val="20"/>
        </w:rPr>
        <w:t>TIER OF GAS:</w:t>
      </w:r>
      <w:r>
        <w:rPr>
          <w:rFonts w:cs="Arial Narrow" w:ascii="Arial Narrow" w:hAnsi="Arial Narrow"/>
          <w:sz w:val="20"/>
        </w:rPr>
        <w:t xml:space="preserve">  Tier 1 Interruptible Gas</w:t>
      </w:r>
    </w:p>
    <w:p>
      <w:pPr>
        <w:pStyle w:val="Normal"/>
        <w:tabs>
          <w:tab w:val="clear" w:pos="720"/>
          <w:tab w:val="left" w:pos="8640" w:leader="none"/>
        </w:tabs>
        <w:ind w:hanging="5580" w:start="5580" w:end="0"/>
        <w:jc w:val="both"/>
        <w:rPr/>
      </w:pPr>
      <w:r>
        <w:rPr>
          <w:rFonts w:cs="Arial Narrow" w:ascii="Arial Narrow" w:hAnsi="Arial Narrow"/>
          <w:b/>
          <w:sz w:val="20"/>
        </w:rPr>
        <w:t xml:space="preserve">DCQ (IN MMBTUS):  </w:t>
      </w:r>
      <w:r>
        <w:rPr>
          <w:rFonts w:cs="Arial Narrow" w:ascii="Arial Narrow" w:hAnsi="Arial Narrow"/>
          <w:bCs/>
          <w:sz w:val="20"/>
        </w:rPr>
        <w:t xml:space="preserve">0 to 10,000 </w:t>
      </w:r>
      <w:r>
        <w:rPr>
          <w:rFonts w:cs="Arial Narrow" w:ascii="Arial Narrow" w:hAnsi="Arial Narrow"/>
          <w:sz w:val="20"/>
        </w:rPr>
        <w:t xml:space="preserve"> (see SCHEDULING)</w:t>
      </w:r>
    </w:p>
    <w:p>
      <w:pPr>
        <w:pStyle w:val="Normal"/>
        <w:tabs>
          <w:tab w:val="clear" w:pos="720"/>
          <w:tab w:val="left" w:pos="8640" w:leader="none"/>
        </w:tabs>
        <w:jc w:val="both"/>
        <w:rPr>
          <w:rFonts w:ascii="Arial Narrow" w:hAnsi="Arial Narrow" w:cs="Arial Narrow"/>
          <w:sz w:val="20"/>
          <w:u w:val="single"/>
        </w:rPr>
      </w:pPr>
      <w:r>
        <w:rPr>
          <w:rFonts w:cs="Arial Narrow" w:ascii="Arial Narrow" w:hAnsi="Arial Narrow"/>
          <w:b/>
          <w:sz w:val="20"/>
        </w:rPr>
        <w:t>DELIVERY POINT(S):</w:t>
      </w:r>
      <w:r>
        <w:rPr>
          <w:rFonts w:cs="Arial Narrow" w:ascii="Arial Narrow" w:hAnsi="Arial Narrow"/>
          <w:sz w:val="20"/>
        </w:rPr>
        <w:t xml:space="preserve">  The interconnection between the Lost Creek Gathering Company L.L.C.’s system and Customer’s Beaver Creek facilities located in Fremont County, Wyoming.</w:t>
      </w:r>
    </w:p>
    <w:p>
      <w:pPr>
        <w:pStyle w:val="Normal"/>
        <w:tabs>
          <w:tab w:val="clear" w:pos="720"/>
          <w:tab w:val="left" w:pos="8640" w:leader="none"/>
        </w:tabs>
        <w:jc w:val="both"/>
        <w:rPr>
          <w:rFonts w:ascii="Arial Narrow" w:hAnsi="Arial Narrow" w:cs="Arial Narrow"/>
          <w:sz w:val="20"/>
        </w:rPr>
      </w:pPr>
      <w:r>
        <w:rPr>
          <w:rFonts w:cs="Arial Narrow" w:ascii="Arial Narrow" w:hAnsi="Arial Narrow"/>
          <w:b/>
          <w:sz w:val="20"/>
        </w:rPr>
        <w:t xml:space="preserve">PERIOD OF DELIVERY:  </w:t>
      </w:r>
      <w:r>
        <w:rPr>
          <w:rFonts w:cs="Arial Narrow" w:ascii="Arial Narrow" w:hAnsi="Arial Narrow"/>
          <w:iCs/>
          <w:sz w:val="20"/>
        </w:rPr>
        <w:t xml:space="preserve">The Period of Delivery shall commence on the Day following the expiration of the Period of Delivery under that certain Transaction Agreement (Package One) which is governed by the </w:t>
      </w:r>
      <w:r>
        <w:rPr>
          <w:rFonts w:cs="Arial Narrow" w:ascii="Arial Narrow" w:hAnsi="Arial Narrow"/>
          <w:sz w:val="20"/>
        </w:rPr>
        <w:t>ENFOLIO Master Firm Purchase/Sale Agreement in effect between Customer and Company</w:t>
      </w:r>
      <w:r>
        <w:rPr>
          <w:rFonts w:cs="Arial Narrow" w:ascii="Arial Narrow" w:hAnsi="Arial Narrow"/>
          <w:iCs/>
          <w:sz w:val="20"/>
        </w:rPr>
        <w:t xml:space="preserve"> each of even date herewith and shall terminate on the date that is twelve (12) months thereafter (the “Initial Term”).  Customer may, at its option, extend the Period of Delivery hereunder beyond the Initial Term by an additional twelve (12) or twenty-four (24) months, by providing the Buyer at least 60 Days prior written notice thereof; provided that Seller must exercise such extension rights identical to those Seller exercises under that certain Transaction Agreement (Package Two) which is governed by the </w:t>
      </w:r>
      <w:r>
        <w:rPr>
          <w:rFonts w:cs="Arial Narrow" w:ascii="Arial Narrow" w:hAnsi="Arial Narrow"/>
          <w:sz w:val="20"/>
        </w:rPr>
        <w:t>ENFOLIO Master Firm Purchase/Sale Agreement effect between Customer and Company</w:t>
      </w:r>
      <w:r>
        <w:rPr>
          <w:rFonts w:cs="Arial Narrow" w:ascii="Arial Narrow" w:hAnsi="Arial Narrow"/>
          <w:iCs/>
          <w:sz w:val="20"/>
        </w:rPr>
        <w:t xml:space="preserve"> each of even date herewith.  I</w:t>
      </w:r>
      <w:r>
        <w:rPr>
          <w:rFonts w:cs="Arial Narrow" w:ascii="Arial Narrow" w:hAnsi="Arial Narrow"/>
          <w:sz w:val="20"/>
        </w:rPr>
        <w:t xml:space="preserve">f the in-service date of the of the facilities required to interconnect the Lost Creek Gathering Company L.L.C.’s system and Customer’s Beaver Creek facilities located in Fremont County, Wyoming at the Delivery Point to be constructed by Crestone _______ has not occurred by September 1, 2001, Seller may immediately terminate this Transaction Agreement; provided that Seller must also terminate that </w:t>
      </w:r>
      <w:r>
        <w:rPr>
          <w:rFonts w:cs="Arial Narrow" w:ascii="Arial Narrow" w:hAnsi="Arial Narrow"/>
          <w:iCs/>
          <w:sz w:val="20"/>
        </w:rPr>
        <w:t xml:space="preserve">certain Transaction Agreement (Package One) and Transaction Agreement (Package Two) each of even date herewith which are governed by the </w:t>
      </w:r>
      <w:r>
        <w:rPr>
          <w:rFonts w:cs="Arial Narrow" w:ascii="Arial Narrow" w:hAnsi="Arial Narrow"/>
          <w:sz w:val="20"/>
        </w:rPr>
        <w:t>ENFOLIO Master Firm Purchase/Sale Agreement in effect between Customer and Company dated May 1, 2001.</w:t>
      </w:r>
      <w:r>
        <w:rPr>
          <w:rFonts w:cs="Arial Narrow" w:ascii="Arial Narrow" w:hAnsi="Arial Narrow"/>
          <w:iCs/>
          <w:sz w:val="20"/>
        </w:rPr>
        <w:t xml:space="preserve">   </w:t>
      </w:r>
      <w:r>
        <w:rPr>
          <w:rFonts w:cs="Arial Narrow" w:ascii="Arial Narrow" w:hAnsi="Arial Narrow"/>
          <w:i/>
          <w:sz w:val="20"/>
        </w:rPr>
        <w:t xml:space="preserve">  </w:t>
      </w:r>
    </w:p>
    <w:p>
      <w:pPr>
        <w:pStyle w:val="Normal"/>
        <w:tabs>
          <w:tab w:val="clear" w:pos="720"/>
          <w:tab w:val="center" w:pos="10800" w:leader="none"/>
        </w:tabs>
        <w:jc w:val="both"/>
        <w:rPr/>
      </w:pPr>
      <w:r>
        <w:rPr>
          <w:rFonts w:cs="Arial Narrow" w:ascii="Arial Narrow" w:hAnsi="Arial Narrow"/>
          <w:b/>
          <w:sz w:val="20"/>
        </w:rPr>
        <w:t>CONTRACT PRICE (PER MMBTU):</w:t>
      </w:r>
      <w:r>
        <w:rPr>
          <w:rFonts w:cs="Arial Narrow" w:ascii="Arial Narrow" w:hAnsi="Arial Narrow"/>
          <w:sz w:val="20"/>
        </w:rPr>
        <w:t xml:space="preserve">  The Contract Price shall be the </w:t>
      </w:r>
      <w:r>
        <w:rPr>
          <w:rFonts w:cs="Arial Narrow" w:ascii="Arial Narrow" w:hAnsi="Arial Narrow"/>
          <w:color w:val="000000"/>
          <w:sz w:val="20"/>
        </w:rPr>
        <w:t xml:space="preserve">“Daily Midpoint” price set forth in </w:t>
      </w:r>
      <w:r>
        <w:rPr>
          <w:rFonts w:cs="Arial Narrow" w:ascii="Arial Narrow" w:hAnsi="Arial Narrow"/>
          <w:color w:val="000000"/>
          <w:sz w:val="20"/>
          <w:u w:val="single"/>
        </w:rPr>
        <w:t>Gas Daily</w:t>
      </w:r>
      <w:r>
        <w:rPr>
          <w:rFonts w:cs="Arial Narrow" w:ascii="Arial Narrow" w:hAnsi="Arial Narrow"/>
          <w:color w:val="000000"/>
          <w:sz w:val="20"/>
        </w:rPr>
        <w:t>® (Financial Times Energy), or successor publication, in the column "Daily Price Survey" under the listing applicable to</w:t>
      </w:r>
      <w:r>
        <w:rPr>
          <w:rFonts w:cs="Arial Narrow" w:ascii="Arial Narrow" w:hAnsi="Arial Narrow"/>
          <w:sz w:val="20"/>
        </w:rPr>
        <w:t xml:space="preserve"> CIG (N. System) for each calendar day of the Period of Delivery minus $0.20.</w:t>
      </w:r>
    </w:p>
    <w:p>
      <w:pPr>
        <w:pStyle w:val="BodyTextIndent2"/>
        <w:tabs>
          <w:tab w:val="clear" w:pos="720"/>
          <w:tab w:val="left" w:pos="0" w:leader="none"/>
        </w:tabs>
        <w:ind w:start="0" w:end="0"/>
        <w:rPr/>
      </w:pPr>
      <w:r>
        <w:rPr>
          <w:b/>
          <w:sz w:val="20"/>
        </w:rPr>
        <w:t>SCHEDULING:</w:t>
      </w:r>
      <w:r>
        <w:rPr>
          <w:sz w:val="20"/>
        </w:rPr>
        <w:t xml:space="preserve">  Seller has the option to Schedule 0 to 10,000 MMBtu per Day on a monthly or daily basis.  Monthly nominations hereunder must be made by Seller at least two (2) Business Days prior to the close of NYMEX trading for the Month of delivery.  Daily nominations hereunder must be made by Seller by 8:00 a.m. CCT on the Business Day prior to the Day of delivery.</w:t>
      </w:r>
    </w:p>
    <w:p>
      <w:pPr>
        <w:pStyle w:val="BodyTextIndent2"/>
        <w:tabs>
          <w:tab w:val="clear" w:pos="720"/>
          <w:tab w:val="left" w:pos="0" w:leader="none"/>
        </w:tabs>
        <w:ind w:start="0" w:end="0"/>
        <w:rPr>
          <w:sz w:val="20"/>
        </w:rPr>
      </w:pPr>
      <w:r>
        <w:rPr>
          <w:b/>
          <w:sz w:val="20"/>
        </w:rPr>
        <w:t>ENA PUT OPTION:</w:t>
      </w:r>
      <w:r>
        <w:rPr>
          <w:sz w:val="20"/>
        </w:rPr>
        <w:t xml:space="preserve">  Buyer may, at its option, re-sell to Seller all quantities of Gas purchased by Buyer hereunder to Seller at a price equal to the </w:t>
      </w:r>
      <w:r>
        <w:rPr>
          <w:color w:val="000000"/>
          <w:sz w:val="20"/>
        </w:rPr>
        <w:t xml:space="preserve">“Daily Midpoint” price set forth in </w:t>
      </w:r>
      <w:r>
        <w:rPr>
          <w:color w:val="000000"/>
          <w:sz w:val="20"/>
          <w:u w:val="single"/>
        </w:rPr>
        <w:t>Gas Daily</w:t>
      </w:r>
      <w:r>
        <w:rPr>
          <w:color w:val="000000"/>
          <w:sz w:val="20"/>
        </w:rPr>
        <w:t>® (Financial Times Energy), or successor publication, in the column "Daily Price Survey" under the listing applicable to</w:t>
      </w:r>
      <w:r>
        <w:rPr>
          <w:sz w:val="20"/>
        </w:rPr>
        <w:t xml:space="preserve"> CIG (N. System) and delivered to Seller at the CIG/WIC mainline at terminus of the Lost Creek Gathering Company, L.L.C.’s system.  Such re-sale shall be subject to a</w:t>
      </w:r>
      <w:r>
        <w:rPr>
          <w:b/>
          <w:sz w:val="20"/>
        </w:rPr>
        <w:t xml:space="preserve"> </w:t>
      </w:r>
      <w:r>
        <w:rPr>
          <w:bCs/>
          <w:sz w:val="20"/>
        </w:rPr>
        <w:t>ENFOLIO</w:t>
      </w:r>
      <w:r>
        <w:rPr>
          <w:rFonts w:ascii="Symbol" w:hAnsi="Symbol"/>
          <w:bCs/>
          <w:position w:val="6"/>
          <w:sz w:val="20"/>
        </w:rPr>
        <w:sym w:font="Symbol" w:char="e2"/>
      </w:r>
      <w:r>
        <w:rPr>
          <w:bCs/>
          <w:position w:val="6"/>
          <w:sz w:val="20"/>
        </w:rPr>
        <w:t xml:space="preserve"> </w:t>
      </w:r>
      <w:r>
        <w:rPr>
          <w:bCs/>
          <w:sz w:val="20"/>
        </w:rPr>
        <w:t>"SPOT"  CONFIRMATION--MASTER "SPOT" PURCHASE/SALE AGREEMENT GOVERNS to be executed between the Customer and Company.</w:t>
      </w:r>
    </w:p>
    <w:p>
      <w:pPr>
        <w:pStyle w:val="Normal"/>
        <w:tabs>
          <w:tab w:val="clear" w:pos="720"/>
          <w:tab w:val="center" w:pos="10800" w:leader="none"/>
        </w:tabs>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This Spot Confirmation is being provided pursuant to and in accordance with the MASTER "SPOT" PURCHASE/SALE AGREEMENT between Customer and Company dated May 1, 2001, and constitutes part of and is subject to all of the provisions thereof.  Company does hereby adopt this letterhead, including the address, as its signature in respect of the identification of Company and the authentication by Company of this Spot Confirmation.  Any objection of Customer to this Spot Confirmation must be made by written notice to Company on or before the Confirm Deadline.</w:t>
      </w:r>
    </w:p>
    <w:p>
      <w:pPr>
        <w:pStyle w:val="Normal"/>
        <w:jc w:val="both"/>
        <w:rPr>
          <w:rFonts w:ascii="Arial Narrow" w:hAnsi="Arial Narrow" w:cs="Arial Narrow"/>
          <w:sz w:val="20"/>
        </w:rPr>
      </w:pPr>
      <w:r>
        <w:rPr>
          <w:rFonts w:cs="Arial Narrow" w:ascii="Arial Narrow" w:hAnsi="Arial Narrow"/>
          <w:sz w:val="20"/>
        </w:rPr>
      </w:r>
    </w:p>
    <w:p>
      <w:pPr>
        <w:pStyle w:val="BodyText"/>
        <w:rPr/>
      </w:pPr>
      <w:r>
        <w:rPr/>
        <w:t>Each Party shall not disclose the terms of this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the referenced Master Agreement.</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Devon SFS Operating, Inc.</w:t>
        <w:tab/>
        <w:tab/>
        <w:tab/>
        <w:tab/>
        <w:tab/>
        <w:t>Enron North America Corp.</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By:</w:t>
      </w:r>
      <w:r>
        <w:rPr>
          <w:rFonts w:cs="Arial Narrow" w:ascii="Arial Narrow" w:hAnsi="Arial Narrow"/>
          <w:sz w:val="20"/>
          <w:u w:val="single"/>
        </w:rPr>
        <w:tab/>
        <w:tab/>
        <w:tab/>
        <w:tab/>
      </w:r>
      <w:r>
        <w:rPr>
          <w:rFonts w:cs="Arial Narrow" w:ascii="Arial Narrow" w:hAnsi="Arial Narrow"/>
          <w:sz w:val="20"/>
        </w:rPr>
        <w:tab/>
        <w:tab/>
        <w:tab/>
        <w:t>By:</w:t>
      </w:r>
      <w:r>
        <w:rPr>
          <w:rFonts w:cs="Arial Narrow" w:ascii="Arial Narrow" w:hAnsi="Arial Narrow"/>
          <w:sz w:val="20"/>
          <w:u w:val="single"/>
        </w:rPr>
        <w:tab/>
        <w:tab/>
        <w:tab/>
        <w:tab/>
        <w:tab/>
      </w:r>
    </w:p>
    <w:p>
      <w:pPr>
        <w:pStyle w:val="Normal"/>
        <w:jc w:val="both"/>
        <w:rPr>
          <w:rFonts w:ascii="Arial Narrow" w:hAnsi="Arial Narrow" w:cs="Arial Narrow"/>
          <w:sz w:val="20"/>
          <w:u w:val="single"/>
        </w:rPr>
      </w:pPr>
      <w:r>
        <w:rPr>
          <w:rFonts w:cs="Arial Narrow" w:ascii="Arial Narrow" w:hAnsi="Arial Narrow"/>
          <w:sz w:val="20"/>
          <w:u w:val="single"/>
        </w:rPr>
      </w:r>
    </w:p>
    <w:p>
      <w:pPr>
        <w:pStyle w:val="Normal"/>
        <w:jc w:val="both"/>
        <w:rPr/>
      </w:pPr>
      <w:r>
        <w:rPr>
          <w:rFonts w:cs="Arial Narrow" w:ascii="Arial Narrow" w:hAnsi="Arial Narrow"/>
          <w:sz w:val="20"/>
        </w:rPr>
        <w:t>Title:</w:t>
      </w:r>
      <w:r>
        <w:rPr>
          <w:rFonts w:cs="Arial Narrow" w:ascii="Arial Narrow" w:hAnsi="Arial Narrow"/>
          <w:sz w:val="20"/>
          <w:u w:val="single"/>
        </w:rPr>
        <w:tab/>
        <w:tab/>
        <w:tab/>
        <w:tab/>
      </w:r>
      <w:r>
        <w:rPr>
          <w:rFonts w:cs="Arial Narrow" w:ascii="Arial Narrow" w:hAnsi="Arial Narrow"/>
          <w:sz w:val="20"/>
        </w:rPr>
        <w:tab/>
        <w:tab/>
        <w:tab/>
        <w:t>Title:</w:t>
      </w:r>
      <w:r>
        <w:rPr>
          <w:rFonts w:cs="Arial Narrow" w:ascii="Arial Narrow" w:hAnsi="Arial Narrow"/>
          <w:sz w:val="20"/>
          <w:u w:val="single"/>
        </w:rPr>
        <w:tab/>
        <w:tab/>
        <w:tab/>
        <w:tab/>
        <w:tab/>
      </w:r>
    </w:p>
    <w:p>
      <w:pPr>
        <w:pStyle w:val="Normal"/>
        <w:rPr>
          <w:rFonts w:ascii="Arial Narrow" w:hAnsi="Arial Narrow" w:cs="Arial Narrow"/>
          <w:sz w:val="20"/>
          <w:u w:val="single"/>
        </w:rPr>
      </w:pPr>
      <w:r>
        <w:rPr>
          <w:rFonts w:cs="Arial Narrow" w:ascii="Arial Narrow" w:hAnsi="Arial Narrow"/>
          <w:sz w:val="20"/>
          <w:u w:val="single"/>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sectPr>
      <w:footerReference w:type="default" r:id="rId3"/>
      <w:footerReference w:type="first" r:id="rId4"/>
      <w:type w:val="nextPage"/>
      <w:pgSz w:w="12240" w:h="15840"/>
      <w:pgMar w:left="720" w:right="720" w:gutter="0" w:header="0" w:top="720"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fldChar w:fldCharType="begin"/>
    </w:r>
    <w:r>
      <w:rPr>
        <w:sz w:val="18"/>
      </w:rPr>
      <w:instrText xml:space="preserve"> FILENAME \p </w:instrText>
    </w:r>
    <w:r>
      <w:rPr>
        <w:sz w:val="18"/>
      </w:rPr>
      <w:fldChar w:fldCharType="separate"/>
    </w:r>
    <w:r>
      <w:rPr>
        <w:sz w:val="18"/>
      </w:rPr>
      <w:t>/mnt/main-storage/datasets/enron-docs/doc/Devon_Interruptible_Confirm__Package_2_.doc</w:t>
    </w:r>
    <w:r>
      <w:rPr>
        <w:sz w:val="18"/>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rFonts w:ascii="Arial Narrow" w:hAnsi="Arial Narrow" w:cs="Arial Narrow"/>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2001-05-11T16:28:00Z</dcterms:created>
  <dc:creator>dperlin</dc:creator>
  <dc:description/>
  <dc:language>en-CA</dc:language>
  <cp:lastModifiedBy>gnemec</cp:lastModifiedBy>
  <cp:lastPrinted>2001-05-14T18:26:00Z</cp:lastPrinted>
  <dcterms:modified xsi:type="dcterms:W3CDTF">2001-05-14T21:04:00Z</dcterms:modified>
  <cp:revision>18</cp:revision>
  <dc:subject/>
  <dc:title>Citation 1994 Investment Limited Partnership,</dc:title>
</cp:coreProperties>
</file>