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Two)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0 to 10,000 MMBtu Per Day. (See SCHEDULING) </w:t>
      </w:r>
    </w:p>
    <w:p>
      <w:pPr>
        <w:pStyle w:val="Normal"/>
        <w:tabs>
          <w:tab w:val="clear" w:pos="720"/>
          <w:tab w:val="left" w:pos="8640" w:leader="none"/>
        </w:tabs>
        <w:ind w:hanging="4680" w:start="4680" w:end="0"/>
        <w:jc w:val="both"/>
        <w:rPr/>
      </w:pPr>
      <w:r>
        <w:rPr>
          <w:rFonts w:cs="Arial Narrow" w:ascii="Arial Narrow" w:hAnsi="Arial Narrow"/>
          <w:caps/>
          <w:sz w:val="19"/>
        </w:rPr>
        <w:t>Annual Minimum Quantity</w:t>
      </w:r>
      <w:r>
        <w:rPr>
          <w:rFonts w:cs="Arial Narrow" w:ascii="Arial Narrow" w:hAnsi="Arial Narrow"/>
          <w:sz w:val="19"/>
        </w:rPr>
        <w:t xml:space="preserve"> (AMQ):</w:t>
        <w:tab/>
        <w:t xml:space="preserve">1,800,000 MMBtu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(“Lost Creek”)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all or a portion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$0.20.  For all deliveries of all or a portion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$0.20.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 xml:space="preserve">The Period of Delivery shall commence on the Day following the expiration of the Period of Delivery under that certain Transaction Agreement (Package One) between Customer and Company of even date herewith and shall terminate on the date that is twelve (12) months thereafter (the “P2 Initial Term”).  Customer may, at its option, extend the Period of Delivery hereunder beyond the P2 Initial Term by an additional twelve (12) or twenty-four (24) Months, by providing the Buyer at least 60 Days prior written notice thereof.  Any extension of the Period of Delivery by Seller, shall be subject to the AMQ for each twelve (12) Month extension period.  </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facilities required to interconnect the Lost Creek’s system and Customer’s Beaver Creek facilities located in Fremont County, Wyoming at the Delivery Point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One)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BodyTextIndent2"/>
        <w:tabs>
          <w:tab w:val="clear" w:pos="720"/>
          <w:tab w:val="left" w:pos="4680" w:leader="none"/>
        </w:tabs>
        <w:ind w:hanging="4680" w:end="0"/>
        <w:rPr>
          <w:iCs/>
        </w:rPr>
      </w:pPr>
      <w:r>
        <w:rPr/>
        <w:t>SCHEDULING:</w:t>
        <w:tab/>
        <w:t>Seller has the option to Schedule 0 to 10,000 MMBtu per Day on a monthly or daily basis.  If Seller elects to Schedule all or a portion of the DCQ on on a monthly basis, such portion of the 0 to 10,000 MMBtu per Day so Scheduled shall be firm for the entire Month.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Normal"/>
        <w:tabs>
          <w:tab w:val="clear" w:pos="720"/>
          <w:tab w:val="left" w:pos="4680" w:leader="none"/>
        </w:tabs>
        <w:ind w:hanging="4680" w:start="4680" w:end="0"/>
        <w:jc w:val="both"/>
        <w:rPr/>
      </w:pPr>
      <w:r>
        <w:rPr>
          <w:rFonts w:cs="Arial Narrow" w:ascii="Arial Narrow" w:hAnsi="Arial Narrow"/>
          <w:sz w:val="19"/>
        </w:rPr>
        <w:t>REMEDY FOR FAILURE TO DELIVER THE AMQ:</w:t>
        <w:tab/>
        <w:t>If during the P2 Initial Term or any twelve (12) Month extension period thereof, Seller fails to Schedule and deliver the AMQ, then such occurrence shall constitute a "</w:t>
      </w:r>
      <w:r>
        <w:rPr>
          <w:rFonts w:cs="Arial Narrow" w:ascii="Arial Narrow" w:hAnsi="Arial Narrow"/>
          <w:sz w:val="19"/>
          <w:u w:val="single"/>
        </w:rPr>
        <w:t>Seller's AMQ Deficiency Default</w:t>
      </w:r>
      <w:r>
        <w:rPr>
          <w:rFonts w:cs="Arial Narrow" w:ascii="Arial Narrow" w:hAnsi="Arial Narrow"/>
          <w:sz w:val="19"/>
        </w:rPr>
        <w:t>" and "</w:t>
      </w:r>
      <w:r>
        <w:rPr>
          <w:rFonts w:cs="Arial Narrow" w:ascii="Arial Narrow" w:hAnsi="Arial Narrow"/>
          <w:sz w:val="19"/>
          <w:u w:val="single"/>
        </w:rPr>
        <w:t>Seller's AMQ Deficiency Quantity</w:t>
      </w:r>
      <w:r>
        <w:rPr>
          <w:rFonts w:cs="Arial Narrow" w:ascii="Arial Narrow" w:hAnsi="Arial Narrow"/>
          <w:sz w:val="19"/>
        </w:rPr>
        <w:t>" shall be the numerical difference between the AMQ and the amount of Gas Scheduled and delivered to Buyer for the P2 Initial Term or any twelve (12) Month extension period thereof.  In the event of a Seller's AMQ Deficiency Default, Seller shall pay Buyer the sum of the following: (i) an amount equal to the product of the Seller's AMQ Deficiency Quantity multiplied by liquidated damages equal to $0.25 per MMBtu to cover Buyer's administrative and operational costs.  Payment to Buyer shall be made on the 25th Day of the Month in which Seller receives Buyer's statement for same.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interrupts Company’s firm gathering services on the Lost Creek pipeline system in accordance with Lost Creek’s procedures for reasons including, without limitation, force majeure, constraints downstream of the Lost Creek system, regulatory rule or order, repairs or modifications, or normal and routine maintenance.</w:t>
      </w:r>
    </w:p>
    <w:p>
      <w:pPr>
        <w:pStyle w:val="BodyTextIndent3"/>
        <w:rPr>
          <w:b/>
          <w:sz w:val="24"/>
        </w:rPr>
      </w:pPr>
      <w:r>
        <w:rPr/>
        <w:t>DELIVERY PRESSURE:</w:t>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4680" w:leader="none"/>
        </w:tabs>
        <w:ind w:hanging="4680" w:end="0"/>
        <w:rPr>
          <w:iCs/>
        </w:rPr>
      </w:pPr>
      <w:r>
        <w:rPr/>
        <w:t>INTRASTATE WARRANTY:</w:t>
        <w:tab/>
        <w:t>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commerce.</w:t>
      </w:r>
      <w:r>
        <w:rPr>
          <w:sz w:val="24"/>
        </w:rPr>
        <w:t xml:space="preserve">  </w:t>
      </w:r>
    </w:p>
    <w:p>
      <w:pPr>
        <w:pStyle w:val="BodyTextIndent2"/>
        <w:tabs>
          <w:tab w:val="clear" w:pos="720"/>
          <w:tab w:val="left" w:pos="4680" w:leader="none"/>
        </w:tabs>
        <w:ind w:hanging="4680" w:end="0"/>
        <w:rPr/>
      </w:pPr>
      <w:r>
        <w:rPr/>
        <w:t>REGULATORY INDEMNITY:</w:t>
        <w:tab/>
        <w:t>Customer shall indemnify, defend and hold harmless Company from any and all loss, cost, expense and Claims arising from or out of a breach of the representations and warranties contained in INTRASTATE WARRANTY Section. Notwithstanding anything to the contrary in this Transaction Agreement or the ENFOLIO Master Firm Purchase/Sale Agreement,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BodyTextIndent2"/>
        <w:tabs>
          <w:tab w:val="clear" w:pos="720"/>
          <w:tab w:val="left" w:pos="4680" w:leader="none"/>
        </w:tabs>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/mnt/main-storage/datasets/enron-docs/doc/Devon_Firm_Confirm__Package_2_A.doc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2001-05-16T14:01:00Z</dcterms:created>
  <dc:creator>dhyvl</dc:creator>
  <dc:description/>
  <dc:language>en-CA</dc:language>
  <cp:lastModifiedBy>gnemec</cp:lastModifiedBy>
  <cp:lastPrinted>2001-05-16T12:58:00Z</cp:lastPrinted>
  <dcterms:modified xsi:type="dcterms:W3CDTF">2001-05-16T15:42:00Z</dcterms:modified>
  <cp:revision>4</cp:revision>
  <dc:subject/>
  <dc:title>June 1,  2000</dc:title>
</cp:coreProperties>
</file>