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SUMMARY OF KEY BUSINESS TERMS</w:t>
      </w:r>
    </w:p>
    <w:p>
      <w:pPr>
        <w:pStyle w:val="Normal"/>
        <w:rPr/>
      </w:pPr>
      <w:r>
        <w:rPr/>
      </w:r>
    </w:p>
    <w:p>
      <w:pPr>
        <w:pStyle w:val="Normal"/>
        <w:numPr>
          <w:ilvl w:val="0"/>
          <w:numId w:val="1"/>
        </w:numPr>
        <w:rPr/>
      </w:pPr>
      <w:r>
        <w:rPr/>
        <w:t>Development Agreement</w:t>
      </w:r>
    </w:p>
    <w:p>
      <w:pPr>
        <w:pStyle w:val="Normal"/>
        <w:rPr/>
      </w:pPr>
      <w:r>
        <w:rPr/>
      </w:r>
    </w:p>
    <w:p>
      <w:pPr>
        <w:pStyle w:val="Normal"/>
        <w:numPr>
          <w:ilvl w:val="1"/>
          <w:numId w:val="1"/>
        </w:numPr>
        <w:rPr/>
      </w:pPr>
      <w:r>
        <w:rPr>
          <w:u w:val="single"/>
        </w:rPr>
        <w:t>General</w:t>
      </w:r>
      <w:r>
        <w:rPr/>
        <w:t>—Pursuant to a Development Agreement, CRRA will retain ENA on an independent contractor basis to develop up to five (5) sites to install 50 MW of natural gas-fired, fuel cell plants to be located in Connecticut (collectively the “Fuel Cell Plants”).  The Fuel Cell Plants will utilize fuel cell technology manufactured by Fuel Cell Energy and ONSI.</w:t>
      </w:r>
    </w:p>
    <w:p>
      <w:pPr>
        <w:pStyle w:val="Normal"/>
        <w:rPr/>
      </w:pPr>
      <w:r>
        <w:rPr/>
      </w:r>
    </w:p>
    <w:p>
      <w:pPr>
        <w:pStyle w:val="Normal"/>
        <w:numPr>
          <w:ilvl w:val="1"/>
          <w:numId w:val="1"/>
        </w:numPr>
        <w:rPr/>
      </w:pPr>
      <w:r>
        <w:rPr>
          <w:u w:val="single"/>
        </w:rPr>
        <w:t>Scope of Services</w:t>
      </w:r>
      <w:r>
        <w:rPr/>
        <w:t>—ENA will be responsible for the following development activities associated with each potential Fuel Cell Plant:</w:t>
      </w:r>
    </w:p>
    <w:p>
      <w:pPr>
        <w:pStyle w:val="Normal"/>
        <w:rPr/>
      </w:pPr>
      <w:r>
        <w:rPr/>
      </w:r>
    </w:p>
    <w:p>
      <w:pPr>
        <w:pStyle w:val="Normal"/>
        <w:numPr>
          <w:ilvl w:val="0"/>
          <w:numId w:val="3"/>
        </w:numPr>
        <w:rPr/>
      </w:pPr>
      <w:r>
        <w:rPr/>
        <w:t>Site identification &amp; evaluation</w:t>
      </w:r>
    </w:p>
    <w:p>
      <w:pPr>
        <w:pStyle w:val="Normal"/>
        <w:numPr>
          <w:ilvl w:val="0"/>
          <w:numId w:val="3"/>
        </w:numPr>
        <w:rPr/>
      </w:pPr>
      <w:r>
        <w:rPr/>
        <w:t>Development Planning</w:t>
      </w:r>
    </w:p>
    <w:p>
      <w:pPr>
        <w:pStyle w:val="Normal"/>
        <w:numPr>
          <w:ilvl w:val="0"/>
          <w:numId w:val="3"/>
        </w:numPr>
        <w:rPr/>
      </w:pPr>
      <w:r>
        <w:rPr/>
        <w:t>Permitting</w:t>
      </w:r>
    </w:p>
    <w:p>
      <w:pPr>
        <w:pStyle w:val="Normal"/>
        <w:numPr>
          <w:ilvl w:val="0"/>
          <w:numId w:val="3"/>
        </w:numPr>
        <w:rPr/>
      </w:pPr>
      <w:r>
        <w:rPr/>
        <w:t>Negotiation of the fuel interconnection agreement</w:t>
      </w:r>
    </w:p>
    <w:p>
      <w:pPr>
        <w:pStyle w:val="Normal"/>
        <w:numPr>
          <w:ilvl w:val="0"/>
          <w:numId w:val="3"/>
        </w:numPr>
        <w:rPr/>
      </w:pPr>
      <w:r>
        <w:rPr/>
        <w:t>Negotiation of water supply agreements</w:t>
      </w:r>
    </w:p>
    <w:p>
      <w:pPr>
        <w:pStyle w:val="Normal"/>
        <w:numPr>
          <w:ilvl w:val="0"/>
          <w:numId w:val="3"/>
        </w:numPr>
        <w:rPr/>
      </w:pPr>
      <w:r>
        <w:rPr/>
        <w:t>Negotiation of other development agreements</w:t>
      </w:r>
    </w:p>
    <w:p>
      <w:pPr>
        <w:pStyle w:val="Normal"/>
        <w:ind w:start="1440" w:end="0"/>
        <w:rPr/>
      </w:pPr>
      <w:r>
        <w:rPr/>
      </w:r>
    </w:p>
    <w:p>
      <w:pPr>
        <w:pStyle w:val="Normal"/>
        <w:ind w:start="720" w:end="0"/>
        <w:rPr/>
      </w:pPr>
      <w:r>
        <w:rPr/>
        <w:t>Negotiation of electrical interconnection agreements, land procurement (to the extent a Fuel Cell    Plant is located on a CRRA owned or leased site), and environmental assessment (to the extent a Fuel Cell Plant is located on a CRRA owned or leased site) are outside the scope of ENA’s services.</w:t>
      </w:r>
    </w:p>
    <w:p>
      <w:pPr>
        <w:pStyle w:val="Normal"/>
        <w:rPr/>
      </w:pPr>
      <w:r>
        <w:rPr/>
      </w:r>
    </w:p>
    <w:p>
      <w:pPr>
        <w:pStyle w:val="Normal"/>
        <w:numPr>
          <w:ilvl w:val="1"/>
          <w:numId w:val="1"/>
        </w:numPr>
        <w:rPr/>
      </w:pPr>
      <w:r>
        <w:rPr>
          <w:u w:val="single"/>
        </w:rPr>
        <w:t>Development Fee</w:t>
      </w:r>
      <w:r>
        <w:rPr/>
        <w:t>—ENA shall be entitled to a development fee payable in U.S. dollars equal to 10% of the total costs to develop, construct and install 50 MW of Fuel Cell Plants.  This development fee shall be payable in three equal installments, with one installment payable at the execution of a definitive Development Agreement, a second installment payable when CRRA approves ENA’s proposed development plans for the Fuel Cell Plants and a last installment payable when the first Fuel Cell Plant is under construction.</w:t>
      </w:r>
    </w:p>
    <w:p>
      <w:pPr>
        <w:pStyle w:val="Normal"/>
        <w:ind w:start="360" w:end="0"/>
        <w:rPr/>
      </w:pPr>
      <w:r>
        <w:rPr/>
      </w:r>
    </w:p>
    <w:p>
      <w:pPr>
        <w:pStyle w:val="Normal"/>
        <w:numPr>
          <w:ilvl w:val="1"/>
          <w:numId w:val="1"/>
        </w:numPr>
        <w:rPr/>
      </w:pPr>
      <w:r>
        <w:rPr>
          <w:u w:val="single"/>
        </w:rPr>
        <w:t>Development Plan</w:t>
      </w:r>
      <w:r>
        <w:rPr/>
        <w:t>—ENA will prepare and propose a development plan for each of the Fuel Cell Plants for CRRA’s approval.  Included in this development plan will be a proposed project configuration, a site map, a preliminary site layout, a development budget, a summary of key development activities and development schedule.  A priority will be given to locating facilities on existing CRRA sites suggested by CRRA. To this goal, a development plan will be prepared for a 40 MW Fuel Cell Plant to be installed at CRRA’s east Hartford trash burning plant and a 10 MW Fuel Cell Plant at CRRA’s Sheldon landfill gas plant. CRRA will have ultimate approval of each development fee.   Once approved, ENA shall be responsible for execution of the approved development plan.</w:t>
      </w:r>
    </w:p>
    <w:p>
      <w:pPr>
        <w:pStyle w:val="Normal"/>
        <w:rPr/>
      </w:pPr>
      <w:r>
        <w:rPr/>
      </w:r>
    </w:p>
    <w:p>
      <w:pPr>
        <w:pStyle w:val="Normal"/>
        <w:numPr>
          <w:ilvl w:val="1"/>
          <w:numId w:val="1"/>
        </w:numPr>
        <w:rPr/>
      </w:pPr>
      <w:r>
        <w:rPr/>
        <w:t xml:space="preserve"> </w:t>
      </w:r>
      <w:r>
        <w:rPr>
          <w:u w:val="single"/>
        </w:rPr>
        <w:t>Periodic Reports</w:t>
      </w:r>
      <w:r>
        <w:rPr/>
        <w:t>—ENA will provide CRRA with monthly reports on its progress in developing each development site.</w:t>
      </w:r>
    </w:p>
    <w:p>
      <w:pPr>
        <w:pStyle w:val="Normal"/>
        <w:rPr/>
      </w:pPr>
      <w:r>
        <w:rPr/>
      </w:r>
    </w:p>
    <w:p>
      <w:pPr>
        <w:pStyle w:val="Normal"/>
        <w:numPr>
          <w:ilvl w:val="1"/>
          <w:numId w:val="1"/>
        </w:numPr>
        <w:rPr/>
      </w:pPr>
      <w:r>
        <w:rPr>
          <w:u w:val="single"/>
        </w:rPr>
        <w:t>Term</w:t>
      </w:r>
      <w:r>
        <w:rPr/>
        <w:t>—The Development Agreement will terminate on the earlier to occur of 1) December 31, 2001 or 2) the date that the last Fuel Cell Plant starts construction.</w:t>
      </w:r>
    </w:p>
    <w:p>
      <w:pPr>
        <w:pStyle w:val="Normal"/>
        <w:rPr/>
      </w:pPr>
      <w:r>
        <w:rPr/>
      </w:r>
    </w:p>
    <w:p>
      <w:pPr>
        <w:pStyle w:val="Normal"/>
        <w:numPr>
          <w:ilvl w:val="0"/>
          <w:numId w:val="1"/>
        </w:numPr>
        <w:rPr/>
      </w:pPr>
      <w:r>
        <w:rPr/>
        <w:t>Construction Agreement</w:t>
      </w:r>
    </w:p>
    <w:p>
      <w:pPr>
        <w:pStyle w:val="Normal"/>
        <w:rPr/>
      </w:pPr>
      <w:r>
        <w:rPr/>
      </w:r>
    </w:p>
    <w:p>
      <w:pPr>
        <w:pStyle w:val="Normal"/>
        <w:numPr>
          <w:ilvl w:val="1"/>
          <w:numId w:val="1"/>
        </w:numPr>
        <w:rPr/>
      </w:pPr>
      <w:r>
        <w:rPr>
          <w:u w:val="single"/>
        </w:rPr>
        <w:t>General</w:t>
      </w:r>
      <w:r>
        <w:rPr/>
        <w:t>—ENA will arrange/execute a turn-key construction contract with CRRA for the construction and  installation of the Fuel Cell Plants.  The Fuel Cell Plants are to be constructed and installed by December 31, 2003.</w:t>
      </w:r>
    </w:p>
    <w:p>
      <w:pPr>
        <w:pStyle w:val="Normal"/>
        <w:ind w:start="360" w:end="0"/>
        <w:rPr>
          <w:u w:val="single"/>
        </w:rPr>
      </w:pPr>
      <w:r>
        <w:rPr>
          <w:u w:val="single"/>
        </w:rPr>
      </w:r>
    </w:p>
    <w:p>
      <w:pPr>
        <w:pStyle w:val="Normal"/>
        <w:numPr>
          <w:ilvl w:val="1"/>
          <w:numId w:val="1"/>
        </w:numPr>
        <w:rPr/>
      </w:pPr>
      <w:r>
        <w:rPr>
          <w:u w:val="single"/>
        </w:rPr>
        <w:t>Technology</w:t>
      </w:r>
      <w:r>
        <w:rPr/>
        <w:t>—The Fuel Cell Plants will utilize an equal number of Fuel Cell Energy 2 MW fuel cell energy units and 200 KW ONSI fuel cell energy units in configurations to be mutually agreed.</w:t>
      </w:r>
    </w:p>
    <w:p>
      <w:pPr>
        <w:pStyle w:val="Normal"/>
        <w:rPr>
          <w:u w:val="single"/>
        </w:rPr>
      </w:pPr>
      <w:r>
        <w:rPr>
          <w:u w:val="single"/>
        </w:rPr>
      </w:r>
    </w:p>
    <w:p>
      <w:pPr>
        <w:pStyle w:val="Normal"/>
        <w:numPr>
          <w:ilvl w:val="1"/>
          <w:numId w:val="1"/>
        </w:numPr>
        <w:rPr/>
      </w:pPr>
      <w:r>
        <w:rPr>
          <w:u w:val="single"/>
        </w:rPr>
        <w:t>Indicative Turn-Key Price</w:t>
      </w:r>
      <w:r>
        <w:rPr/>
        <w:t xml:space="preserve">—[$___ million], payable in U.S. dollars, at the execution of the Construction Agreement. If a Fuel Cell Plant fails its performance test, the ratable share of the turn-key price shall be refunded to CRRA.  </w:t>
      </w:r>
    </w:p>
    <w:p>
      <w:pPr>
        <w:pStyle w:val="Normal"/>
        <w:ind w:start="360" w:end="0"/>
        <w:rPr/>
      </w:pPr>
      <w:r>
        <w:rPr/>
      </w:r>
    </w:p>
    <w:p>
      <w:pPr>
        <w:pStyle w:val="Normal"/>
        <w:numPr>
          <w:ilvl w:val="1"/>
          <w:numId w:val="2"/>
        </w:numPr>
        <w:rPr/>
      </w:pPr>
      <w:r>
        <w:rPr>
          <w:u w:val="single"/>
        </w:rPr>
        <w:t>Scope</w:t>
      </w:r>
      <w:r>
        <w:rPr/>
        <w:t xml:space="preserve">—All equipment and services necessary to design, construct and install the Fuel Cell Plants, exclusive of the cost of land, development, financing, and electrical interconnection (from the high-side of transformer).   </w:t>
      </w:r>
    </w:p>
    <w:p>
      <w:pPr>
        <w:pStyle w:val="Normal"/>
        <w:rPr/>
      </w:pPr>
      <w:r>
        <w:rPr/>
      </w:r>
    </w:p>
    <w:p>
      <w:pPr>
        <w:pStyle w:val="Normal"/>
        <w:numPr>
          <w:ilvl w:val="1"/>
          <w:numId w:val="2"/>
        </w:numPr>
        <w:rPr/>
      </w:pPr>
      <w:r>
        <w:rPr>
          <w:u w:val="single"/>
        </w:rPr>
        <w:t>Performance Test</w:t>
      </w:r>
      <w:r>
        <w:rPr/>
        <w:t>—A mutually-agreeable performance test shall be performed prior to the acceptance of each Fuel Cell Plant by CRRA.</w:t>
      </w:r>
    </w:p>
    <w:p>
      <w:pPr>
        <w:pStyle w:val="Normal"/>
        <w:rPr/>
      </w:pPr>
      <w:r>
        <w:rPr/>
      </w:r>
    </w:p>
    <w:p>
      <w:pPr>
        <w:pStyle w:val="Normal"/>
        <w:numPr>
          <w:ilvl w:val="1"/>
          <w:numId w:val="2"/>
        </w:numPr>
        <w:rPr/>
      </w:pPr>
      <w:r>
        <w:rPr>
          <w:u w:val="single"/>
        </w:rPr>
        <w:t>Warranty</w:t>
      </w:r>
      <w:r>
        <w:rPr/>
        <w:t>—ENA shall pass through all vendor/contractor warranties to CRRA.  Balance of plant shall be subject to a one year warranty.</w:t>
      </w:r>
    </w:p>
    <w:p>
      <w:pPr>
        <w:pStyle w:val="Normal"/>
        <w:rPr/>
      </w:pPr>
      <w:r>
        <w:rPr/>
      </w:r>
    </w:p>
    <w:p>
      <w:pPr>
        <w:pStyle w:val="Normal"/>
        <w:numPr>
          <w:ilvl w:val="1"/>
          <w:numId w:val="2"/>
        </w:numPr>
        <w:rPr/>
      </w:pPr>
      <w:r>
        <w:rPr>
          <w:u w:val="single"/>
        </w:rPr>
        <w:t>Term—</w:t>
      </w:r>
      <w:r>
        <w:rPr/>
        <w:t xml:space="preserve">The earlier to occur of 1) December 31, 2004 or 2) one year from the date that the last Fuel Cell Plant passes its performance test.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isLgl/>
      <w:numFmt w:val="decimal"/>
      <w:lvlText w:val="%1.%2"/>
      <w:lvlJc w:val="start"/>
      <w:pPr>
        <w:tabs>
          <w:tab w:val="num" w:pos="720"/>
        </w:tabs>
        <w:ind w:start="720" w:hanging="36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1800"/>
        </w:tabs>
        <w:ind w:start="1800" w:hanging="720"/>
      </w:pPr>
      <w:rPr/>
    </w:lvl>
    <w:lvl w:ilvl="4">
      <w:start w:val="1"/>
      <w:isLgl/>
      <w:numFmt w:val="decimal"/>
      <w:lvlText w:val="%1.%2.%3.%4.%5"/>
      <w:lvlJc w:val="start"/>
      <w:pPr>
        <w:tabs>
          <w:tab w:val="num" w:pos="2160"/>
        </w:tabs>
        <w:ind w:start="2160" w:hanging="720"/>
      </w:pPr>
      <w:rPr/>
    </w:lvl>
    <w:lvl w:ilvl="5">
      <w:start w:val="1"/>
      <w:isLgl/>
      <w:numFmt w:val="decimal"/>
      <w:lvlText w:val="%1.%2.%3.%4.%5.%6"/>
      <w:lvlJc w:val="start"/>
      <w:pPr>
        <w:tabs>
          <w:tab w:val="num" w:pos="2880"/>
        </w:tabs>
        <w:ind w:start="2880" w:hanging="1080"/>
      </w:pPr>
      <w:rPr/>
    </w:lvl>
    <w:lvl w:ilvl="6">
      <w:start w:val="1"/>
      <w:isLgl/>
      <w:numFmt w:val="decimal"/>
      <w:lvlText w:val="%1.%2.%3.%4.%5.%6.%7"/>
      <w:lvlJc w:val="start"/>
      <w:pPr>
        <w:tabs>
          <w:tab w:val="num" w:pos="3240"/>
        </w:tabs>
        <w:ind w:start="3240" w:hanging="1080"/>
      </w:pPr>
      <w:rPr/>
    </w:lvl>
    <w:lvl w:ilvl="7">
      <w:start w:val="1"/>
      <w:isLgl/>
      <w:numFmt w:val="decimal"/>
      <w:lvlText w:val="%1.%2.%3.%4.%5.%6.%7.%8"/>
      <w:lvlJc w:val="start"/>
      <w:pPr>
        <w:tabs>
          <w:tab w:val="num" w:pos="3960"/>
        </w:tabs>
        <w:ind w:start="3960" w:hanging="1440"/>
      </w:pPr>
      <w:rPr/>
    </w:lvl>
    <w:lvl w:ilvl="8">
      <w:start w:val="1"/>
      <w:isLgl/>
      <w:numFmt w:val="decimal"/>
      <w:lvlText w:val="%1.%2.%3.%4.%5.%6.%7.%8.%9"/>
      <w:lvlJc w:val="start"/>
      <w:pPr>
        <w:tabs>
          <w:tab w:val="num" w:pos="4320"/>
        </w:tabs>
        <w:ind w:start="4320" w:hanging="1440"/>
      </w:pPr>
      <w:rPr/>
    </w:lvl>
  </w:abstractNum>
  <w:abstractNum w:abstractNumId="2">
    <w:lvl w:ilvl="0">
      <w:start w:val="2"/>
      <w:numFmt w:val="decimal"/>
      <w:lvlText w:val="%1"/>
      <w:lvlJc w:val="start"/>
      <w:pPr>
        <w:tabs>
          <w:tab w:val="num" w:pos="390"/>
        </w:tabs>
        <w:ind w:start="390" w:hanging="390"/>
      </w:pPr>
      <w:rPr/>
    </w:lvl>
    <w:lvl w:ilvl="1">
      <w:start w:val="2"/>
      <w:numFmt w:val="decimal"/>
      <w:lvlText w:val="%1.%2"/>
      <w:lvlJc w:val="start"/>
      <w:pPr>
        <w:tabs>
          <w:tab w:val="num" w:pos="750"/>
        </w:tabs>
        <w:ind w:start="750" w:hanging="39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2000-08-24T12:11:00Z</dcterms:created>
  <dc:creator>shealy</dc:creator>
  <dc:description/>
  <dc:language>en-CA</dc:language>
  <cp:lastModifiedBy>shealy</cp:lastModifiedBy>
  <dcterms:modified xsi:type="dcterms:W3CDTF">2000-08-24T12:11:00Z</dcterms:modified>
  <cp:revision>2</cp:revision>
  <dc:subject/>
  <dc:title>1</dc:title>
</cp:coreProperties>
</file>