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COMMENTS ON TRANSACTION DEVELOPMENT PROCESS—ROLES AND RELATIONSHIPS:</w:t>
      </w:r>
    </w:p>
    <w:p>
      <w:pPr>
        <w:pStyle w:val="Normal"/>
        <w:jc w:val="both"/>
        <w:rPr/>
      </w:pPr>
      <w:r>
        <w:rPr/>
      </w:r>
    </w:p>
    <w:p>
      <w:pPr>
        <w:pStyle w:val="Normal"/>
        <w:numPr>
          <w:ilvl w:val="0"/>
          <w:numId w:val="1"/>
        </w:numPr>
        <w:jc w:val="both"/>
        <w:rPr/>
      </w:pPr>
      <w:r>
        <w:rPr/>
        <w:t>The Transaction Development Cycle</w:t>
      </w:r>
    </w:p>
    <w:p>
      <w:pPr>
        <w:pStyle w:val="Normal"/>
        <w:ind w:start="360" w:end="0"/>
        <w:jc w:val="both"/>
        <w:rPr/>
      </w:pPr>
      <w:r>
        <w:rPr/>
      </w:r>
    </w:p>
    <w:p>
      <w:pPr>
        <w:pStyle w:val="Normal"/>
        <w:ind w:start="360" w:end="0"/>
        <w:jc w:val="both"/>
        <w:rPr/>
      </w:pPr>
      <w:r>
        <w:rPr/>
        <w:t>The transaction development cycle can be broken down into four stages, Initial Feasibility, Conceptual Development, Commercial Finalization and Execution.  These stages often overlap and may sometimes have gaps between the end of one phase and the beginning of the next.  Overlapping of these phases is more common.  These phases are characterized as follows:</w:t>
      </w:r>
    </w:p>
    <w:p>
      <w:pPr>
        <w:pStyle w:val="Normal"/>
        <w:ind w:start="360" w:end="0"/>
        <w:jc w:val="both"/>
        <w:rPr/>
      </w:pPr>
      <w:r>
        <w:rPr/>
      </w:r>
    </w:p>
    <w:p>
      <w:pPr>
        <w:pStyle w:val="Normal"/>
        <w:ind w:start="360" w:end="0"/>
        <w:jc w:val="both"/>
        <w:rPr/>
      </w:pPr>
      <w:r>
        <w:rPr/>
        <w:t>Initial Feasibility:  In this phase an opportunity is evaluated to determine if there is any commercial merit to developing it further.  A number of viable concepts will probably be evaluated.</w:t>
      </w:r>
    </w:p>
    <w:p>
      <w:pPr>
        <w:pStyle w:val="Normal"/>
        <w:ind w:start="360" w:end="0"/>
        <w:jc w:val="both"/>
        <w:rPr/>
      </w:pPr>
      <w:r>
        <w:rPr/>
      </w:r>
    </w:p>
    <w:p>
      <w:pPr>
        <w:pStyle w:val="Normal"/>
        <w:ind w:start="360" w:end="0"/>
        <w:jc w:val="both"/>
        <w:rPr/>
      </w:pPr>
      <w:r>
        <w:rPr/>
        <w:t>Conceptual Development:  In this phase, one or two general concepts will be more fully developed to provide a framework for establishing a plan, getting management approvals to go forward and provide a basis for commercial agreements.</w:t>
      </w:r>
    </w:p>
    <w:p>
      <w:pPr>
        <w:pStyle w:val="Normal"/>
        <w:ind w:start="360" w:end="0"/>
        <w:jc w:val="both"/>
        <w:rPr/>
      </w:pPr>
      <w:r>
        <w:rPr/>
      </w:r>
    </w:p>
    <w:p>
      <w:pPr>
        <w:pStyle w:val="Normal"/>
        <w:ind w:start="360" w:end="0"/>
        <w:jc w:val="both"/>
        <w:rPr/>
      </w:pPr>
      <w:r>
        <w:rPr/>
        <w:t>Commercial Finalization:  In this phase, the Conceptual Plan is used as the basis to obtain management approvals to proceed, commit to long lead procurement and contracts, develop permits and third party contracts, and obtain financing.</w:t>
      </w:r>
    </w:p>
    <w:p>
      <w:pPr>
        <w:pStyle w:val="Normal"/>
        <w:ind w:start="360" w:end="0"/>
        <w:jc w:val="both"/>
        <w:rPr/>
      </w:pPr>
      <w:r>
        <w:rPr/>
      </w:r>
    </w:p>
    <w:p>
      <w:pPr>
        <w:pStyle w:val="Normal"/>
        <w:ind w:start="360" w:end="0"/>
        <w:jc w:val="both"/>
        <w:rPr/>
      </w:pPr>
      <w:r>
        <w:rPr/>
        <w:t>Execution:  In this phase the actual implementation of the transaction is effected.</w:t>
      </w:r>
    </w:p>
    <w:p>
      <w:pPr>
        <w:pStyle w:val="Normal"/>
        <w:ind w:start="360" w:end="0"/>
        <w:jc w:val="both"/>
        <w:rPr/>
      </w:pPr>
      <w:r>
        <w:rPr/>
      </w:r>
    </w:p>
    <w:p>
      <w:pPr>
        <w:pStyle w:val="Normal"/>
        <w:ind w:start="360" w:end="0"/>
        <w:jc w:val="both"/>
        <w:rPr/>
      </w:pPr>
      <w:r>
        <w:rPr/>
        <w:t>This process is presented graphically in the attachment.</w:t>
      </w:r>
    </w:p>
    <w:p>
      <w:pPr>
        <w:pStyle w:val="Normal"/>
        <w:ind w:start="360" w:end="0"/>
        <w:jc w:val="both"/>
        <w:rPr/>
      </w:pPr>
      <w:r>
        <w:rPr/>
      </w:r>
    </w:p>
    <w:p>
      <w:pPr>
        <w:pStyle w:val="Normal"/>
        <w:numPr>
          <w:ilvl w:val="0"/>
          <w:numId w:val="1"/>
        </w:numPr>
        <w:jc w:val="both"/>
        <w:rPr/>
      </w:pPr>
      <w:r>
        <w:rPr/>
        <w:t xml:space="preserve">Roles and Responsibilities </w:t>
      </w:r>
    </w:p>
    <w:p>
      <w:pPr>
        <w:pStyle w:val="Normal"/>
        <w:jc w:val="both"/>
        <w:rPr/>
      </w:pPr>
      <w:r>
        <w:rPr/>
      </w:r>
    </w:p>
    <w:p>
      <w:pPr>
        <w:pStyle w:val="Normal"/>
        <w:ind w:start="360" w:end="0"/>
        <w:jc w:val="both"/>
        <w:rPr/>
      </w:pPr>
      <w:r>
        <w:rPr/>
        <w:t>During the various phases, the roles and responsibilities change somewhat.  The roles are generally as indicated:</w:t>
      </w:r>
    </w:p>
    <w:p>
      <w:pPr>
        <w:pStyle w:val="Normal"/>
        <w:ind w:start="360" w:end="0"/>
        <w:jc w:val="both"/>
        <w:rPr/>
      </w:pPr>
      <w:r>
        <w:rPr/>
      </w:r>
    </w:p>
    <w:p>
      <w:pPr>
        <w:pStyle w:val="Normal"/>
        <w:ind w:start="360" w:end="0"/>
        <w:jc w:val="both"/>
        <w:rPr/>
      </w:pPr>
      <w:r>
        <w:rPr/>
        <w:t>Initial Feasibility:  The Originator is the initiator of activity.  The Originator will define the general objectives and will solicit support from other parties to define alternative concepts that may meet the objectives.  Also, possible fatal flaws and significant constraints will be defined. The better of these concepts will be evaluated in rough form to determine if it is justified to go further.</w:t>
      </w:r>
    </w:p>
    <w:p>
      <w:pPr>
        <w:pStyle w:val="Normal"/>
        <w:ind w:start="360" w:end="0"/>
        <w:jc w:val="both"/>
        <w:rPr/>
      </w:pPr>
      <w:r>
        <w:rPr/>
      </w:r>
    </w:p>
    <w:p>
      <w:pPr>
        <w:pStyle w:val="Normal"/>
        <w:ind w:start="360" w:end="0"/>
        <w:jc w:val="both"/>
        <w:rPr/>
      </w:pPr>
      <w:r>
        <w:rPr/>
        <w:t>Conceptual Development: When it appears that there is one or more concepts that have merit, the Originator may determine to proceed with conceptual development of the transaction.  At this time a development team should be formed and the development budget, schedule and specific expenditures are provided to the Originator for approval.  The appropriate members of the development team will depend on the nature of the transaction.  The development plan will establish the specific responsibilities of each of the development team members.</w:t>
      </w:r>
    </w:p>
    <w:p>
      <w:pPr>
        <w:pStyle w:val="Normal"/>
        <w:ind w:start="360" w:end="0"/>
        <w:jc w:val="both"/>
        <w:rPr/>
      </w:pPr>
      <w:r>
        <w:rPr/>
      </w:r>
    </w:p>
    <w:p>
      <w:pPr>
        <w:pStyle w:val="Normal"/>
        <w:ind w:start="360" w:end="0"/>
        <w:jc w:val="both"/>
        <w:rPr/>
      </w:pPr>
      <w:r>
        <w:rPr/>
        <w:t>Commercial Finalization:  When it appears that the concept is commercially acceptable, the Originator, with management approval, will initiate the Commercial Finalization phase.  In this phase, commitment for long lead equipment and services may be required, offtake and supply contracts must be negotiated, financing arranged and necessary permits applied for and obtained.  During this phase, the Execution Plan and Execution Budget must be established and approved, and the Execution Team established.  The nature of the transaction will determine the appropriate members of the team and the Execution plan will define specific roles and responsibilities.  Commercial Finalization will normally end with signing of contracts when asset development is not involved or with Notice to Proceed and or Financing, or sale of the assets to third parties if the transaction involves physical assets.</w:t>
      </w:r>
    </w:p>
    <w:p>
      <w:pPr>
        <w:pStyle w:val="Normal"/>
        <w:ind w:start="360" w:end="0"/>
        <w:jc w:val="both"/>
        <w:rPr/>
      </w:pPr>
      <w:r>
        <w:rPr/>
      </w:r>
    </w:p>
    <w:p>
      <w:pPr>
        <w:pStyle w:val="Normal"/>
        <w:ind w:start="360" w:end="0"/>
        <w:jc w:val="both"/>
        <w:rPr/>
      </w:pPr>
      <w:r>
        <w:rPr/>
        <w:t>Execution: If the transaction involves assets, and these assets are not  sold down, the Execution Team will proceed to effect the Execution Plan.  In general, the Originator will pass the leadership role to a designated Project Manager for the Execution phase.</w:t>
      </w:r>
    </w:p>
    <w:p>
      <w:pPr>
        <w:pStyle w:val="Normal"/>
        <w:ind w:start="360" w:end="0"/>
        <w:jc w:val="both"/>
        <w:rPr/>
      </w:pPr>
      <w:r>
        <w:rPr/>
      </w:r>
    </w:p>
    <w:p>
      <w:pPr>
        <w:pStyle w:val="Normal"/>
        <w:numPr>
          <w:ilvl w:val="0"/>
          <w:numId w:val="1"/>
        </w:numPr>
        <w:jc w:val="both"/>
        <w:rPr/>
      </w:pPr>
      <w:r>
        <w:rPr/>
        <w:t>Technical Support of Transaction Development Efforts When Assets are Involved</w:t>
      </w:r>
    </w:p>
    <w:p>
      <w:pPr>
        <w:pStyle w:val="Normal"/>
        <w:jc w:val="both"/>
        <w:rPr/>
      </w:pPr>
      <w:r>
        <w:rPr/>
      </w:r>
    </w:p>
    <w:p>
      <w:pPr>
        <w:pStyle w:val="Normal"/>
        <w:ind w:start="360" w:end="0"/>
        <w:jc w:val="both"/>
        <w:rPr/>
      </w:pPr>
      <w:r>
        <w:rPr/>
        <w:t>There will be a wide range of transactions, including those where no physical assets are involved.  In transactions where no physical assets are involved, there will generally be minor if any requirement for technical input.  Where needed these will be provided or coordinated through Technical Services.</w:t>
      </w:r>
    </w:p>
    <w:p>
      <w:pPr>
        <w:pStyle w:val="Normal"/>
        <w:ind w:start="360" w:end="0"/>
        <w:jc w:val="both"/>
        <w:rPr/>
      </w:pPr>
      <w:r>
        <w:rPr/>
      </w:r>
    </w:p>
    <w:p>
      <w:pPr>
        <w:pStyle w:val="Normal"/>
        <w:ind w:start="360" w:end="0"/>
        <w:jc w:val="both"/>
        <w:rPr/>
      </w:pPr>
      <w:r>
        <w:rPr/>
        <w:t>When assets are involved, either through acquisition or new construction, the technical parties who will play a role in the development process will include EA Technical Services, EE&amp;CC, and third parties.</w:t>
      </w:r>
    </w:p>
    <w:p>
      <w:pPr>
        <w:pStyle w:val="Normal"/>
        <w:ind w:start="360" w:end="0"/>
        <w:jc w:val="both"/>
        <w:rPr/>
      </w:pPr>
      <w:r>
        <w:rPr/>
      </w:r>
    </w:p>
    <w:p>
      <w:pPr>
        <w:pStyle w:val="Normal"/>
        <w:ind w:start="360" w:end="0"/>
        <w:jc w:val="both"/>
        <w:rPr/>
      </w:pPr>
      <w:r>
        <w:rPr/>
        <w:t xml:space="preserve">In the initial feasibility stage through the conceptual development stage, it is the responsibility of Technical Services to provide and manage the technical input and support of the development effort.  While EE&amp;CC and third party staff may be utilized, they should be tasked and directed Technical Services.  </w:t>
      </w:r>
    </w:p>
    <w:p>
      <w:pPr>
        <w:pStyle w:val="Normal"/>
        <w:ind w:start="360" w:end="0"/>
        <w:jc w:val="both"/>
        <w:rPr/>
      </w:pPr>
      <w:r>
        <w:rPr/>
      </w:r>
    </w:p>
    <w:p>
      <w:pPr>
        <w:pStyle w:val="BodyTextIndent"/>
        <w:rPr/>
      </w:pPr>
      <w:r>
        <w:rPr/>
        <w:t>During the Commercial Finalization phase, independent reviews of all components of the transaction will occur to protect the interests of the Corporation and the stockholders.  If physical assets or other technical risk are involved in the transaction, one of these reviews will be a Technical Review.  ENA Technical Services will arrange for presentation of the transaction to an EE&amp;CC review team.  The EE&amp;CC review team will examine the transaction for fatal flaws, possible improvements and general concerns.  The EE&amp;CC review team will present a statement of recommendations and technical risk assessment for the transaction to Technical Services.  This assessment will occur prior to the DASH and will be incorporated into the overall assessment of transaction risk.</w:t>
      </w:r>
    </w:p>
    <w:p>
      <w:pPr>
        <w:pStyle w:val="Normal"/>
        <w:ind w:start="360" w:end="0"/>
        <w:jc w:val="both"/>
        <w:rPr>
          <w:rFonts w:ascii="Helv;Arial" w:hAnsi="Helv;Arial" w:cs="Helv;Arial"/>
          <w:color w:val="000000"/>
          <w:lang w:eastAsia="en-US"/>
        </w:rPr>
      </w:pPr>
      <w:r>
        <w:rPr>
          <w:rFonts w:cs="Helv;Arial" w:ascii="Helv;Arial" w:hAnsi="Helv;Arial"/>
          <w:color w:val="000000"/>
          <w:lang w:eastAsia="en-US"/>
        </w:rPr>
      </w:r>
    </w:p>
    <w:p>
      <w:pPr>
        <w:pStyle w:val="Normal"/>
        <w:ind w:start="360" w:end="0"/>
        <w:jc w:val="both"/>
        <w:rPr/>
      </w:pPr>
      <w:r>
        <w:rPr/>
        <w:t xml:space="preserve">As the Execution Phase begins, the leadership and responsibility and accountability for the transaction will pass to a Project Manager.  In general, this will be an EE&amp;CC or Third Party individual who will report back through Technical Services.  </w:t>
      </w:r>
    </w:p>
    <w:p>
      <w:pPr>
        <w:pStyle w:val="Normal"/>
        <w:ind w:start="360" w:end="0"/>
        <w:jc w:val="both"/>
        <w:rPr/>
      </w:pPr>
      <w:r>
        <w:rPr/>
      </w:r>
    </w:p>
    <w:p>
      <w:pPr>
        <w:pStyle w:val="Normal"/>
        <w:ind w:start="360" w:end="0"/>
        <w:jc w:val="both"/>
        <w:rPr/>
      </w:pPr>
      <w:r>
        <w:rPr/>
        <w:t xml:space="preserve">It not anticipated that NEPCO will have a role in the development process, other than as a potential EPC contractor.  </w:t>
      </w:r>
    </w:p>
    <w:p>
      <w:pPr>
        <w:pStyle w:val="Normal"/>
        <w:ind w:start="360" w:end="0"/>
        <w:jc w:val="both"/>
        <w:rPr/>
      </w:pPr>
      <w:r>
        <w:rPr/>
      </w:r>
    </w:p>
    <w:p>
      <w:pPr>
        <w:pStyle w:val="Normal"/>
        <w:numPr>
          <w:ilvl w:val="0"/>
          <w:numId w:val="1"/>
        </w:numPr>
        <w:jc w:val="both"/>
        <w:rPr/>
      </w:pPr>
      <w:r>
        <w:rPr/>
        <w:t>Comments on EE&amp;CC Roles and Responsibilities</w:t>
      </w:r>
    </w:p>
    <w:p>
      <w:pPr>
        <w:pStyle w:val="Normal"/>
        <w:jc w:val="both"/>
        <w:rPr/>
      </w:pPr>
      <w:r>
        <w:rPr/>
      </w:r>
    </w:p>
    <w:p>
      <w:pPr>
        <w:pStyle w:val="Normal"/>
        <w:ind w:start="360" w:end="0"/>
        <w:jc w:val="both"/>
        <w:rPr/>
      </w:pPr>
      <w:r>
        <w:rPr/>
        <w:t xml:space="preserve">EE&amp;CC provides two very important and key roles for this process.  First, EE&amp;CC maintains and makes available to all of Enron Corporation a pool of highly knowledgeable and experienced technical talent.  As with other parts of Enron Corporation, EA will draw on this body of expertise for technical assistance, and if EE&amp;CC were not available, we would utilize relationships with other engineering service providers.  </w:t>
      </w:r>
    </w:p>
    <w:p>
      <w:pPr>
        <w:pStyle w:val="Normal"/>
        <w:ind w:start="360" w:end="0"/>
        <w:jc w:val="both"/>
        <w:rPr/>
      </w:pPr>
      <w:r>
        <w:rPr/>
      </w:r>
    </w:p>
    <w:p>
      <w:pPr>
        <w:pStyle w:val="Normal"/>
        <w:ind w:start="360" w:end="0"/>
        <w:jc w:val="both"/>
        <w:rPr/>
      </w:pPr>
      <w:r>
        <w:rPr/>
        <w:t xml:space="preserve">Second, EE&amp;CC provides the due diligence review service for EA.  This assures that the development and execution teams have not missed key problems or issues that a more objective observer might spot.  </w:t>
      </w:r>
    </w:p>
    <w:p>
      <w:pPr>
        <w:pStyle w:val="Normal"/>
        <w:ind w:start="360" w:end="0"/>
        <w:jc w:val="both"/>
        <w:rPr/>
      </w:pPr>
      <w:r>
        <w:rPr/>
      </w:r>
    </w:p>
    <w:p>
      <w:pPr>
        <w:pStyle w:val="Normal"/>
        <w:ind w:start="360" w:end="0"/>
        <w:jc w:val="both"/>
        <w:rPr/>
      </w:pPr>
      <w:r>
        <w:rPr/>
        <w:t>It will not be an EE&amp;CC responsibility to monitor or supervise the effort unless specifically tasked to do such as part of the development or execution plan.</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ind w:start="360" w:end="0"/>
        <w:jc w:val="both"/>
        <w:rPr/>
      </w:pPr>
      <w:r>
        <w:rPr/>
      </w:r>
    </w:p>
    <w:tbl>
      <w:tblPr>
        <w:tblW w:w="12920" w:type="dxa"/>
        <w:jc w:val="start"/>
        <w:tblInd w:w="-2170" w:type="dxa"/>
        <w:tblLayout w:type="fixed"/>
        <w:tblCellMar>
          <w:top w:w="0" w:type="dxa"/>
          <w:start w:w="0" w:type="dxa"/>
          <w:bottom w:w="0" w:type="dxa"/>
          <w:end w:w="0" w:type="dxa"/>
        </w:tblCellMar>
      </w:tblPr>
      <w:tblGrid>
        <w:gridCol w:w="960"/>
        <w:gridCol w:w="960"/>
        <w:gridCol w:w="960"/>
        <w:gridCol w:w="960"/>
        <w:gridCol w:w="960"/>
        <w:gridCol w:w="960"/>
        <w:gridCol w:w="460"/>
        <w:gridCol w:w="940"/>
        <w:gridCol w:w="960"/>
        <w:gridCol w:w="960"/>
        <w:gridCol w:w="960"/>
        <w:gridCol w:w="960"/>
        <w:gridCol w:w="960"/>
        <w:gridCol w:w="960"/>
      </w:tblGrid>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3840" w:type="dxa"/>
            <w:gridSpan w:val="4"/>
            <w:tcBorders/>
            <w:vAlign w:val="bottom"/>
          </w:tcPr>
          <w:p>
            <w:pPr>
              <w:pStyle w:val="Normal"/>
              <w:rPr>
                <w:rFonts w:ascii="Arial" w:hAnsi="Arial" w:cs="Arial"/>
                <w:b/>
                <w:sz w:val="20"/>
              </w:rPr>
            </w:pPr>
            <w:r>
              <w:rPr>
                <w:rFonts w:cs="Arial" w:ascii="Arial" w:hAnsi="Arial"/>
                <w:b/>
                <w:sz w:val="20"/>
              </w:rPr>
              <w:t>TRANSACTION DEVELOPMENT PROCESS</w:t>
            </w:r>
          </w:p>
        </w:tc>
        <w:tc>
          <w:tcPr>
            <w:tcW w:w="460" w:type="dxa"/>
            <w:tcBorders/>
            <w:vAlign w:val="bottom"/>
          </w:tcPr>
          <w:p>
            <w:pPr>
              <w:pStyle w:val="Normal"/>
              <w:snapToGrid w:val="false"/>
              <w:rPr>
                <w:rFonts w:ascii="Arial" w:hAnsi="Arial" w:cs="Arial"/>
                <w:b/>
                <w:sz w:val="20"/>
              </w:rPr>
            </w:pPr>
            <w:r>
              <w:rPr>
                <w:rFonts w:cs="Arial" w:ascii="Arial" w:hAnsi="Arial"/>
                <w:b/>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vAlign w:val="bottom"/>
          </w:tcPr>
          <w:p>
            <w:pPr>
              <w:pStyle w:val="Normal"/>
              <w:rPr>
                <w:rFonts w:ascii="Arial" w:hAnsi="Arial" w:cs="Arial"/>
                <w:sz w:val="20"/>
              </w:rPr>
            </w:pPr>
            <w:r>
              <w:rPr>
                <w:rFonts w:cs="Arial" w:ascii="Arial" w:hAnsi="Arial"/>
                <w:sz w:val="20"/>
              </w:rPr>
              <w:t>First Concept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2880" w:type="dxa"/>
            <w:gridSpan w:val="3"/>
            <w:tcBorders/>
            <w:vAlign w:val="bottom"/>
          </w:tcPr>
          <w:p>
            <w:pPr>
              <w:pStyle w:val="Normal"/>
              <w:rPr>
                <w:rFonts w:ascii="Arial" w:hAnsi="Arial" w:cs="Arial"/>
                <w:sz w:val="20"/>
              </w:rPr>
            </w:pPr>
            <w:r>
              <w:rPr>
                <w:rFonts w:cs="Arial" w:ascii="Arial" w:hAnsi="Arial"/>
                <w:sz w:val="20"/>
              </w:rPr>
              <w:t>Development Budget &amp; Plan</w:t>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70"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402"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1920" w:type="dxa"/>
            <w:gridSpan w:val="2"/>
            <w:tcBorders>
              <w:top w:val="single" w:sz="8" w:space="0" w:color="000000"/>
              <w:start w:val="single" w:sz="8" w:space="0" w:color="000000"/>
              <w:bottom w:val="single" w:sz="8" w:space="0" w:color="000000"/>
              <w:end w:val="single" w:sz="8" w:space="0" w:color="000000"/>
            </w:tcBorders>
            <w:vAlign w:val="center"/>
          </w:tcPr>
          <w:p>
            <w:pPr>
              <w:pStyle w:val="Normal"/>
              <w:rPr>
                <w:rFonts w:ascii="Arial" w:hAnsi="Arial" w:cs="Arial"/>
                <w:sz w:val="20"/>
              </w:rPr>
            </w:pPr>
            <w:r>
              <w:rPr>
                <w:rFonts w:eastAsia="Arial" w:cs="Arial" w:ascii="Arial" w:hAnsi="Arial"/>
                <w:sz w:val="20"/>
              </w:rPr>
              <w:t xml:space="preserve">    </w:t>
            </w:r>
            <w:r>
              <w:rPr>
                <w:rFonts w:cs="Arial" w:ascii="Arial" w:hAnsi="Arial"/>
                <w:sz w:val="20"/>
              </w:rPr>
              <w:t>Initial Feasibility</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280" w:type="dxa"/>
            <w:gridSpan w:val="5"/>
            <w:tcBorders/>
            <w:vAlign w:val="bottom"/>
          </w:tcPr>
          <w:p>
            <w:pPr>
              <w:pStyle w:val="Normal"/>
              <w:rPr>
                <w:rFonts w:ascii="Arial" w:hAnsi="Arial" w:cs="Arial"/>
                <w:sz w:val="20"/>
              </w:rPr>
            </w:pPr>
            <w:r>
              <w:rPr>
                <w:rFonts w:cs="Arial" w:ascii="Arial" w:hAnsi="Arial"/>
                <w:sz w:val="20"/>
              </w:rPr>
              <w:t>Establish Execution Plan and Budget</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3320" w:type="dxa"/>
            <w:gridSpan w:val="4"/>
            <w:tcBorders/>
            <w:vAlign w:val="bottom"/>
          </w:tcPr>
          <w:p>
            <w:pPr>
              <w:pStyle w:val="Normal"/>
              <w:rPr>
                <w:rFonts w:ascii="Arial" w:hAnsi="Arial" w:cs="Arial"/>
                <w:sz w:val="20"/>
              </w:rPr>
            </w:pPr>
            <w:r>
              <w:rPr>
                <w:rFonts w:cs="Arial" w:ascii="Arial" w:hAnsi="Arial"/>
                <w:sz w:val="20"/>
              </w:rPr>
              <w:t>DASH/Management Approval</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70"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402"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3840" w:type="dxa"/>
            <w:gridSpan w:val="4"/>
            <w:tcBorders>
              <w:top w:val="single" w:sz="8" w:space="0" w:color="000000"/>
              <w:start w:val="single" w:sz="8" w:space="0" w:color="000000"/>
              <w:bottom w:val="single" w:sz="8" w:space="0" w:color="000000"/>
              <w:end w:val="single" w:sz="8" w:space="0" w:color="000000"/>
            </w:tcBorders>
            <w:vAlign w:val="center"/>
          </w:tcPr>
          <w:p>
            <w:pPr>
              <w:pStyle w:val="Normal"/>
              <w:rPr>
                <w:rFonts w:ascii="Arial" w:hAnsi="Arial" w:cs="Arial"/>
                <w:sz w:val="20"/>
              </w:rPr>
            </w:pPr>
            <w:r>
              <w:rPr>
                <w:rFonts w:eastAsia="Arial" w:cs="Arial" w:ascii="Arial" w:hAnsi="Arial"/>
                <w:sz w:val="20"/>
              </w:rPr>
              <w:t xml:space="preserve">            </w:t>
            </w:r>
            <w:r>
              <w:rPr>
                <w:rFonts w:cs="Arial" w:ascii="Arial" w:hAnsi="Arial"/>
                <w:sz w:val="20"/>
              </w:rPr>
              <w:t>Conceptual Development</w:t>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rPr>
                <w:rFonts w:ascii="Arial" w:hAnsi="Arial" w:cs="Arial"/>
                <w:sz w:val="20"/>
              </w:rPr>
            </w:pPr>
            <w:r>
              <w:rPr>
                <w:rFonts w:cs="Arial" w:ascii="Arial" w:hAnsi="Arial"/>
                <w:sz w:val="20"/>
              </w:rPr>
              <w:t>NTP</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end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end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70"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bottom w:val="single" w:sz="8" w:space="0" w:color="000000"/>
              <w:end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402"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top w:val="single" w:sz="8" w:space="0" w:color="000000"/>
              <w:start w:val="single" w:sz="8" w:space="0" w:color="000000"/>
              <w:bottom w:val="single" w:sz="8" w:space="0" w:color="000000"/>
            </w:tcBorders>
            <w:vAlign w:val="center"/>
          </w:tcPr>
          <w:p>
            <w:pPr>
              <w:pStyle w:val="Normal"/>
              <w:rPr>
                <w:rFonts w:ascii="Arial" w:hAnsi="Arial" w:cs="Arial"/>
                <w:sz w:val="20"/>
              </w:rPr>
            </w:pPr>
            <w:r>
              <w:rPr>
                <w:rFonts w:cs="Arial" w:ascii="Arial" w:hAnsi="Arial"/>
                <w:sz w:val="20"/>
              </w:rPr>
              <w:t> </w:t>
            </w:r>
          </w:p>
        </w:tc>
        <w:tc>
          <w:tcPr>
            <w:tcW w:w="2360" w:type="dxa"/>
            <w:gridSpan w:val="3"/>
            <w:tcBorders>
              <w:top w:val="single" w:sz="8" w:space="0" w:color="000000"/>
              <w:bottom w:val="single" w:sz="8" w:space="0" w:color="000000"/>
            </w:tcBorders>
            <w:vAlign w:val="center"/>
          </w:tcPr>
          <w:p>
            <w:pPr>
              <w:pStyle w:val="Normal"/>
              <w:rPr>
                <w:rFonts w:ascii="Arial" w:hAnsi="Arial" w:cs="Arial"/>
                <w:sz w:val="20"/>
              </w:rPr>
            </w:pPr>
            <w:r>
              <w:rPr>
                <w:rFonts w:cs="Arial" w:ascii="Arial" w:hAnsi="Arial"/>
                <w:sz w:val="20"/>
              </w:rPr>
              <w:t>Commercial Finalization</w:t>
            </w:r>
          </w:p>
        </w:tc>
        <w:tc>
          <w:tcPr>
            <w:tcW w:w="960" w:type="dxa"/>
            <w:tcBorders>
              <w:start w:val="single"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vAlign w:val="bottom"/>
          </w:tcPr>
          <w:p>
            <w:pPr>
              <w:pStyle w:val="Normal"/>
              <w:rPr>
                <w:rFonts w:ascii="Arial" w:hAnsi="Arial" w:cs="Arial"/>
                <w:sz w:val="20"/>
              </w:rPr>
            </w:pPr>
            <w:r>
              <w:rPr>
                <w:rFonts w:cs="Arial" w:ascii="Arial" w:hAnsi="Arial"/>
                <w:sz w:val="20"/>
              </w:rPr>
              <w:t> </w:t>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70"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bottom w:val="single"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402"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top w:val="single" w:sz="8" w:space="0" w:color="000000"/>
              <w:start w:val="single" w:sz="8" w:space="0" w:color="000000"/>
              <w:bottom w:val="single" w:sz="8" w:space="0" w:color="000000"/>
              <w:end w:val="single" w:sz="8" w:space="0" w:color="000000"/>
            </w:tcBorders>
            <w:vAlign w:val="center"/>
          </w:tcPr>
          <w:p>
            <w:pPr>
              <w:pStyle w:val="Normal"/>
              <w:rPr>
                <w:rFonts w:ascii="Arial" w:hAnsi="Arial" w:cs="Arial"/>
                <w:sz w:val="20"/>
              </w:rPr>
            </w:pPr>
            <w:r>
              <w:rPr>
                <w:rFonts w:cs="Arial" w:ascii="Arial" w:hAnsi="Arial"/>
                <w:sz w:val="20"/>
              </w:rPr>
              <w:t>Pre-NTP</w:t>
            </w:r>
          </w:p>
        </w:tc>
        <w:tc>
          <w:tcPr>
            <w:tcW w:w="960" w:type="dxa"/>
            <w:tcBorders>
              <w:bottom w:val="single" w:sz="8" w:space="0" w:color="000000"/>
            </w:tcBorders>
            <w:vAlign w:val="center"/>
          </w:tcPr>
          <w:p>
            <w:pPr>
              <w:pStyle w:val="Normal"/>
              <w:rPr>
                <w:rFonts w:ascii="Arial" w:hAnsi="Arial" w:cs="Arial"/>
                <w:sz w:val="20"/>
              </w:rPr>
            </w:pPr>
            <w:r>
              <w:rPr>
                <w:rFonts w:cs="Arial" w:ascii="Arial" w:hAnsi="Arial"/>
                <w:sz w:val="20"/>
              </w:rPr>
              <w:t> </w:t>
            </w:r>
          </w:p>
        </w:tc>
        <w:tc>
          <w:tcPr>
            <w:tcW w:w="960" w:type="dxa"/>
            <w:tcBorders>
              <w:top w:val="single" w:sz="8" w:space="0" w:color="000000"/>
              <w:bottom w:val="single" w:sz="8" w:space="0" w:color="000000"/>
            </w:tcBorders>
            <w:vAlign w:val="center"/>
          </w:tcPr>
          <w:p>
            <w:pPr>
              <w:pStyle w:val="Normal"/>
              <w:rPr>
                <w:rFonts w:ascii="Arial" w:hAnsi="Arial" w:cs="Arial"/>
                <w:sz w:val="20"/>
              </w:rPr>
            </w:pPr>
            <w:r>
              <w:rPr>
                <w:rFonts w:cs="Arial" w:ascii="Arial" w:hAnsi="Arial"/>
                <w:sz w:val="20"/>
              </w:rPr>
              <w:t> </w:t>
            </w:r>
          </w:p>
        </w:tc>
        <w:tc>
          <w:tcPr>
            <w:tcW w:w="960" w:type="dxa"/>
            <w:tcBorders>
              <w:top w:val="single" w:sz="8" w:space="0" w:color="000000"/>
              <w:bottom w:val="single" w:sz="8" w:space="0" w:color="000000"/>
            </w:tcBorders>
            <w:vAlign w:val="center"/>
          </w:tcPr>
          <w:p>
            <w:pPr>
              <w:pStyle w:val="Normal"/>
              <w:rPr>
                <w:rFonts w:ascii="Arial" w:hAnsi="Arial" w:cs="Arial"/>
                <w:sz w:val="20"/>
              </w:rPr>
            </w:pPr>
            <w:r>
              <w:rPr>
                <w:rFonts w:cs="Arial" w:ascii="Arial" w:hAnsi="Arial"/>
                <w:sz w:val="20"/>
              </w:rPr>
              <w:t>Execution</w:t>
            </w:r>
          </w:p>
        </w:tc>
        <w:tc>
          <w:tcPr>
            <w:tcW w:w="960" w:type="dxa"/>
            <w:tcBorders>
              <w:top w:val="single" w:sz="8" w:space="0" w:color="000000"/>
              <w:bottom w:val="single" w:sz="8" w:space="0" w:color="000000"/>
            </w:tcBorders>
            <w:vAlign w:val="center"/>
          </w:tcPr>
          <w:p>
            <w:pPr>
              <w:pStyle w:val="Normal"/>
              <w:rPr>
                <w:rFonts w:ascii="Arial" w:hAnsi="Arial" w:cs="Arial"/>
                <w:sz w:val="20"/>
              </w:rPr>
            </w:pPr>
            <w:r>
              <w:rPr>
                <w:rFonts w:cs="Arial" w:ascii="Arial" w:hAnsi="Arial"/>
                <w:sz w:val="20"/>
              </w:rPr>
              <w:t> </w:t>
            </w:r>
          </w:p>
        </w:tc>
        <w:tc>
          <w:tcPr>
            <w:tcW w:w="960" w:type="dxa"/>
            <w:tcBorders>
              <w:top w:val="single" w:sz="8" w:space="0" w:color="000000"/>
              <w:bottom w:val="single" w:sz="8" w:space="0" w:color="000000"/>
              <w:end w:val="single" w:sz="8" w:space="0" w:color="000000"/>
            </w:tcBorders>
            <w:vAlign w:val="center"/>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4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start w:val="dotDash" w:sz="8" w:space="0" w:color="000000"/>
            </w:tcBorders>
            <w:vAlign w:val="bottom"/>
          </w:tcPr>
          <w:p>
            <w:pPr>
              <w:pStyle w:val="Normal"/>
              <w:rPr>
                <w:rFonts w:ascii="Arial" w:hAnsi="Arial" w:cs="Arial"/>
                <w:sz w:val="20"/>
              </w:rPr>
            </w:pPr>
            <w:r>
              <w:rPr>
                <w:rFonts w:cs="Arial" w:ascii="Arial" w:hAnsi="Arial"/>
                <w:sz w:val="20"/>
              </w:rPr>
              <w:t> </w:t>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460" w:type="dxa"/>
            <w:tcBorders/>
            <w:vAlign w:val="bottom"/>
          </w:tcPr>
          <w:p>
            <w:pPr>
              <w:pStyle w:val="Normal"/>
              <w:snapToGrid w:val="false"/>
              <w:rPr>
                <w:rFonts w:ascii="Arial" w:hAnsi="Arial" w:cs="Arial"/>
                <w:sz w:val="20"/>
              </w:rPr>
            </w:pPr>
            <w:r>
              <w:rPr>
                <w:rFonts w:cs="Arial" w:ascii="Arial" w:hAnsi="Arial"/>
                <w:sz w:val="20"/>
              </w:rPr>
            </w:r>
          </w:p>
        </w:tc>
        <w:tc>
          <w:tcPr>
            <w:tcW w:w="94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bl>
    <w:p>
      <w:pPr>
        <w:sectPr>
          <w:type w:val="oddPage"/>
          <w:pgSz w:orient="landscape" w:w="15840" w:h="12240"/>
          <w:pgMar w:left="3456" w:right="1440" w:gutter="0" w:header="0" w:top="2592" w:footer="0" w:bottom="1800"/>
          <w:pgNumType w:fmt="decimal"/>
          <w:formProt w:val="false"/>
          <w:textDirection w:val="lrTb"/>
          <w:docGrid w:type="default" w:linePitch="360" w:charSpace="0"/>
        </w:sectPr>
      </w:pP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2001-01-29T12:18:00Z</dcterms:created>
  <dc:creator>john coleman</dc:creator>
  <dc:description/>
  <dc:language>en-CA</dc:language>
  <cp:lastModifiedBy>ENRON</cp:lastModifiedBy>
  <cp:lastPrinted>2001-02-07T15:23:00Z</cp:lastPrinted>
  <dcterms:modified xsi:type="dcterms:W3CDTF">2001-02-07T18:54:00Z</dcterms:modified>
  <cp:revision>4</cp:revision>
  <dc:subject/>
  <dc:title>COMMENTS ON PROJECT DEVELOPMENT PROCESS—ROLES AND RELATIONSHIPS:</dc:title>
</cp:coreProperties>
</file>