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sz w:val="28"/>
        </w:rPr>
      </w:pPr>
      <w:r>
        <w:rPr>
          <w:caps/>
          <w:sz w:val="28"/>
        </w:rPr>
        <w:t>Equipment Purchase Agreements to be assigned to DevCo</w:t>
      </w:r>
    </w:p>
    <w:p>
      <w:pPr>
        <w:pStyle w:val="BodyText"/>
        <w:rPr>
          <w:caps/>
          <w:sz w:val="28"/>
        </w:rPr>
      </w:pPr>
      <w:r>
        <w:rPr>
          <w:caps/>
          <w:sz w:val="28"/>
        </w:rPr>
      </w:r>
    </w:p>
    <w:tbl>
      <w:tblPr>
        <w:tblW w:w="18108" w:type="dxa"/>
        <w:jc w:val="start"/>
        <w:tblInd w:w="0" w:type="dxa"/>
        <w:tblLayout w:type="fixed"/>
        <w:tblCellMar>
          <w:top w:w="0" w:type="dxa"/>
          <w:start w:w="108" w:type="dxa"/>
          <w:bottom w:w="0" w:type="dxa"/>
          <w:end w:w="108" w:type="dxa"/>
        </w:tblCellMar>
      </w:tblPr>
      <w:tblGrid>
        <w:gridCol w:w="1458"/>
        <w:gridCol w:w="1642"/>
        <w:gridCol w:w="2498"/>
        <w:gridCol w:w="3330"/>
        <w:gridCol w:w="4080"/>
        <w:gridCol w:w="2899"/>
        <w:gridCol w:w="2201"/>
      </w:tblGrid>
      <w:tr>
        <w:trPr>
          <w:trHeight w:val="449" w:hRule="atLeast"/>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Buyer</w:t>
            </w:r>
          </w:p>
        </w:tc>
        <w:tc>
          <w:tcPr>
            <w:tcW w:w="1642"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Agent</w:t>
            </w:r>
          </w:p>
        </w:tc>
        <w:tc>
          <w:tcPr>
            <w:tcW w:w="2498"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Seller</w:t>
            </w:r>
          </w:p>
        </w:tc>
        <w:tc>
          <w:tcPr>
            <w:tcW w:w="33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Contract</w:t>
            </w:r>
          </w:p>
        </w:tc>
        <w:tc>
          <w:tcPr>
            <w:tcW w:w="40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Equipment Description</w:t>
            </w:r>
          </w:p>
        </w:tc>
        <w:tc>
          <w:tcPr>
            <w:tcW w:w="2899"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Project</w:t>
            </w:r>
          </w:p>
        </w:tc>
        <w:tc>
          <w:tcPr>
            <w:tcW w:w="2201"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bCs/>
                <w:sz w:val="24"/>
              </w:rPr>
            </w:pPr>
            <w:r>
              <w:rPr>
                <w:b/>
                <w:bCs/>
                <w:sz w:val="24"/>
              </w:rPr>
              <w:t>Assignment Document</w:t>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Westdeutsche Landesbank Girozentrale, New York Branch (“</w:t>
            </w:r>
            <w:r>
              <w:rPr>
                <w:u w:val="single"/>
              </w:rPr>
              <w:t>West LB</w:t>
            </w:r>
            <w:r>
              <w:rPr/>
              <w:t>”)</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Enron North America Corp. (“</w:t>
            </w:r>
            <w:r>
              <w:rPr>
                <w:u w:val="single"/>
              </w:rPr>
              <w:t>ENA</w:t>
            </w:r>
            <w:r>
              <w:rPr/>
              <w:t>”)</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GE Packaged Power, Inc. (“</w:t>
            </w:r>
            <w:r>
              <w:rPr>
                <w:u w:val="single"/>
              </w:rPr>
              <w:t>GEPP</w:t>
            </w:r>
            <w:r>
              <w:rPr/>
              <w:t>”)</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Agreement, dated as of May 12, 2000, between WestLB, acting through its Agent ENA, and GEPP, for the purchase of 24 LM6000 Enhanced Sprint Gas Turbine Generator Sets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12 LM 6000 turbines + change orders 1, 2, 3, 4</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S&amp;S turbines”</w:t>
            </w:r>
          </w:p>
        </w:tc>
        <w:tc>
          <w:tcPr>
            <w:tcW w:w="2201" w:type="dxa"/>
            <w:tcBorders>
              <w:top w:val="single" w:sz="4" w:space="0" w:color="000000"/>
              <w:start w:val="single" w:sz="4" w:space="0" w:color="000000"/>
              <w:end w:val="single" w:sz="4" w:space="0" w:color="000000"/>
            </w:tcBorders>
          </w:tcPr>
          <w:p>
            <w:pPr>
              <w:pStyle w:val="Normal"/>
              <w:rPr/>
            </w:pPr>
            <w:r>
              <w:rPr/>
              <w:t>Purchase Option Assignment and Assumption Agreement among ENA, E-Next Generation LLC (“</w:t>
            </w:r>
            <w:r>
              <w:rPr>
                <w:u w:val="single"/>
              </w:rPr>
              <w:t>DevCo</w:t>
            </w:r>
            <w:r>
              <w:rPr/>
              <w:t>”) and WestLB</w:t>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ABB Power T&amp;D Company (“</w:t>
            </w:r>
            <w:r>
              <w:rPr>
                <w:u w:val="single"/>
              </w:rPr>
              <w:t>ABB</w:t>
            </w:r>
            <w:r>
              <w:rPr/>
              <w:t>”)</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Agreement, dated July 14, 2000, between WestLB, acting through its Agent ENA, and ABB, for 10 Power Transformer Packages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8 transformers + change order 1</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S&amp;S transformers”</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Custom Instrumentation Services Corporation (“CISCO”)</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Purchase Order No. FR04980011, awarded on December 5, 2000 and as executed on December 8, 2000, between WestLB, acting through its Agent ENA, and CISCO, for the Continuous Emissions Monitoring System</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Continuous Emissions Monitoring System</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I”</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Gas Packagers, Inc. (“GPI”)</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Purchase Order No. FR04980010, awarded on December 7, 2000 and as executed on December 7, 2000, between WestLB, acting through its Agent ENA, and GPI, for the Fuel Gas Booster Package</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Fuel Gas Booster Package</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II”</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Powell Electric Manufacturing Company (“Powell”)</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 xml:space="preserve">Purchase Order No. FR04980009, awarded on November 29, 2000 and as executed on December </w:t>
            </w:r>
            <w:r>
              <w:rPr>
                <w:b/>
                <w:bCs/>
              </w:rPr>
              <w:t>[8]</w:t>
            </w:r>
            <w:r>
              <w:rPr/>
              <w:t>, 2000, between WestLB, acting through its Agent ENA, and Powell, for the 15kV Medium Voltage Switchgear</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15kV Medium Voltage Switchgear</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III”</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Cooper Power Systems (“Cooper”)</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Purchase Order No. FR04980008, awarded on November 20, 2000 and as executed on December 8, 2000, between WestLB, acting through its Agent ENA, and Cooper, for Auxiliary Transformers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Auxiliary Transformers</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IV”</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Great Southwestern Construction, Inc. (“Southwestern”)</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Purchase Order No. FR04980006, awarded on November 21, 2000 and as executed on December 1, 2000, between WestLB, acting through its Agent ENA, and Southwestern, for the Switchyard Equipment</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Switchyard Equipment</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V”</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 xml:space="preserve">Powell </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 xml:space="preserve">Purchase Order No. FR04980012, awarded on </w:t>
            </w:r>
            <w:r>
              <w:rPr>
                <w:b/>
                <w:bCs/>
              </w:rPr>
              <w:t>[_________ __, 2000]</w:t>
            </w:r>
            <w:r>
              <w:rPr/>
              <w:t xml:space="preserve"> and as executed on December </w:t>
            </w:r>
            <w:r>
              <w:rPr>
                <w:b/>
                <w:bCs/>
              </w:rPr>
              <w:t>[8]</w:t>
            </w:r>
            <w:r>
              <w:rPr/>
              <w:t>, 2000, between WestLB, acting through its Agent ENA, and Powell, for the Power Control Building</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Power Control Building</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 VI”</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Lonestar Transportation, Inc. (“Lonestar”)</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General Services Agreement, dated as of December 1, 2000, between WestLB, acting through its Agent ENA, and Lonestar, for the Transportation of GTG Sets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Transporting Fountain Valley turbines to Colorado</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Fountain Valley”</w:t>
            </w:r>
          </w:p>
        </w:tc>
        <w:tc>
          <w:tcPr>
            <w:tcW w:w="2201" w:type="dxa"/>
            <w:tcBorders>
              <w:start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General Electric Company (“</w:t>
            </w:r>
            <w:r>
              <w:rPr>
                <w:u w:val="single"/>
              </w:rPr>
              <w:t>GE</w:t>
            </w:r>
            <w:r>
              <w:rPr/>
              <w:t xml:space="preserve">”) </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Agreement, dated as of May 1, 2000, between WestLB, acting through its Agent ENA, and GE, for Combined Cycle Power Islands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2 Power Trains</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Pastoria I”</w:t>
            </w:r>
          </w:p>
        </w:tc>
        <w:tc>
          <w:tcPr>
            <w:tcW w:w="2201" w:type="dxa"/>
            <w:tcBorders>
              <w:top w:val="single" w:sz="4" w:space="0" w:color="000000"/>
              <w:start w:val="single" w:sz="4" w:space="0" w:color="000000"/>
              <w:end w:val="single" w:sz="4" w:space="0" w:color="000000"/>
            </w:tcBorders>
          </w:tcPr>
          <w:p>
            <w:pPr>
              <w:pStyle w:val="Normal"/>
              <w:rPr/>
            </w:pPr>
            <w:r>
              <w:rPr/>
              <w:t>Purchase Option Assignment and Assumption Agreement among ENA, DevCo and WestLB</w:t>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West LB</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 xml:space="preserve">GE </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Agreement, dated as of September 15, 2000, between WestLB, acting through its Agent ENA, and GE, for Combined Cycle Power Island</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1 Power Train</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Pastoria II”</w:t>
            </w:r>
          </w:p>
        </w:tc>
        <w:tc>
          <w:tcPr>
            <w:tcW w:w="2201" w:type="dxa"/>
            <w:tcBorders>
              <w:start w:val="single" w:sz="4" w:space="0" w:color="000000"/>
              <w:bottom w:val="single" w:sz="4" w:space="0" w:color="000000"/>
              <w:end w:val="single" w:sz="4" w:space="0" w:color="000000"/>
            </w:tcBorders>
          </w:tcPr>
          <w:p>
            <w:pPr>
              <w:pStyle w:val="Normal"/>
              <w:snapToGrid w:val="false"/>
              <w:rPr/>
            </w:pPr>
            <w:r>
              <w:rPr/>
            </w:r>
          </w:p>
        </w:tc>
      </w:tr>
      <w:tr>
        <w:trPr>
          <w:trHeight w:val="288"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LJM2-Turbine, LLC (“</w:t>
            </w:r>
            <w:r>
              <w:rPr>
                <w:u w:val="single"/>
              </w:rPr>
              <w:t>LJM</w:t>
            </w:r>
            <w:r>
              <w:rPr/>
              <w:t>”)</w:t>
            </w:r>
          </w:p>
        </w:tc>
        <w:tc>
          <w:tcPr>
            <w:tcW w:w="1642" w:type="dxa"/>
            <w:tcBorders>
              <w:top w:val="single" w:sz="4" w:space="0" w:color="000000"/>
              <w:start w:val="single" w:sz="4" w:space="0" w:color="000000"/>
              <w:bottom w:val="single" w:sz="4" w:space="0" w:color="000000"/>
              <w:end w:val="single" w:sz="4" w:space="0" w:color="000000"/>
            </w:tcBorders>
          </w:tcPr>
          <w:p>
            <w:pPr>
              <w:pStyle w:val="Normal"/>
              <w:rPr/>
            </w:pPr>
            <w:r>
              <w:rPr/>
              <w:t>ENA</w:t>
            </w:r>
          </w:p>
        </w:tc>
        <w:tc>
          <w:tcPr>
            <w:tcW w:w="2498" w:type="dxa"/>
            <w:tcBorders>
              <w:top w:val="single" w:sz="4" w:space="0" w:color="000000"/>
              <w:start w:val="single" w:sz="4" w:space="0" w:color="000000"/>
              <w:bottom w:val="single" w:sz="4" w:space="0" w:color="000000"/>
              <w:end w:val="single" w:sz="4" w:space="0" w:color="000000"/>
            </w:tcBorders>
          </w:tcPr>
          <w:p>
            <w:pPr>
              <w:pStyle w:val="Normal"/>
              <w:rPr/>
            </w:pPr>
            <w:r>
              <w:rPr/>
              <w:t>GE</w:t>
            </w:r>
          </w:p>
        </w:tc>
        <w:tc>
          <w:tcPr>
            <w:tcW w:w="3330" w:type="dxa"/>
            <w:tcBorders>
              <w:top w:val="single" w:sz="4" w:space="0" w:color="000000"/>
              <w:start w:val="single" w:sz="4" w:space="0" w:color="000000"/>
              <w:bottom w:val="single" w:sz="4" w:space="0" w:color="000000"/>
              <w:end w:val="single" w:sz="4" w:space="0" w:color="000000"/>
            </w:tcBorders>
          </w:tcPr>
          <w:p>
            <w:pPr>
              <w:pStyle w:val="Normal"/>
              <w:rPr/>
            </w:pPr>
            <w:r>
              <w:rPr/>
              <w:t>Agreement, dated as of May 31, 2000, between LJM, acting through its Agent ENA, and GE, for the Blue Dog Project Gas Turbine Generator Packages</w:t>
            </w:r>
          </w:p>
        </w:tc>
        <w:tc>
          <w:tcPr>
            <w:tcW w:w="4080" w:type="dxa"/>
            <w:tcBorders>
              <w:top w:val="single" w:sz="4" w:space="0" w:color="000000"/>
              <w:start w:val="single" w:sz="4" w:space="0" w:color="000000"/>
              <w:bottom w:val="single" w:sz="4" w:space="0" w:color="000000"/>
              <w:end w:val="single" w:sz="4" w:space="0" w:color="000000"/>
            </w:tcBorders>
          </w:tcPr>
          <w:p>
            <w:pPr>
              <w:pStyle w:val="Normal"/>
              <w:rPr/>
            </w:pPr>
            <w:r>
              <w:rPr/>
              <w:t>2 7EA turbines</w:t>
            </w:r>
          </w:p>
        </w:tc>
        <w:tc>
          <w:tcPr>
            <w:tcW w:w="2899" w:type="dxa"/>
            <w:tcBorders>
              <w:top w:val="single" w:sz="4" w:space="0" w:color="000000"/>
              <w:start w:val="single" w:sz="4" w:space="0" w:color="000000"/>
              <w:bottom w:val="single" w:sz="4" w:space="0" w:color="000000"/>
              <w:end w:val="single" w:sz="4" w:space="0" w:color="000000"/>
            </w:tcBorders>
          </w:tcPr>
          <w:p>
            <w:pPr>
              <w:pStyle w:val="Normal"/>
              <w:rPr/>
            </w:pPr>
            <w:r>
              <w:rPr/>
              <w:t>“</w:t>
            </w:r>
            <w:r>
              <w:rPr/>
              <w:t>Blue Dog turbines”</w:t>
            </w:r>
          </w:p>
        </w:tc>
        <w:tc>
          <w:tcPr>
            <w:tcW w:w="2201" w:type="dxa"/>
            <w:tcBorders>
              <w:top w:val="single" w:sz="4" w:space="0" w:color="000000"/>
              <w:start w:val="single" w:sz="4" w:space="0" w:color="000000"/>
              <w:bottom w:val="single" w:sz="4" w:space="0" w:color="000000"/>
              <w:end w:val="single" w:sz="4" w:space="0" w:color="000000"/>
            </w:tcBorders>
          </w:tcPr>
          <w:p>
            <w:pPr>
              <w:pStyle w:val="Normal"/>
              <w:rPr/>
            </w:pPr>
            <w:r>
              <w:rPr/>
              <w:t>Assignment and Assumption among DevCo, LJM and ENA</w:t>
            </w:r>
          </w:p>
        </w:tc>
      </w:tr>
    </w:tbl>
    <w:p>
      <w:pPr>
        <w:pStyle w:val="Normal"/>
        <w:rPr/>
      </w:pPr>
      <w:r>
        <w:rPr/>
      </w:r>
    </w:p>
    <w:sectPr>
      <w:headerReference w:type="default" r:id="rId2"/>
      <w:headerReference w:type="first" r:id="rId3"/>
      <w:footerReference w:type="default" r:id="rId4"/>
      <w:footerReference w:type="first" r:id="rId5"/>
      <w:type w:val="nextPage"/>
      <w:pgSz w:orient="landscape" w:w="20160" w:h="12240"/>
      <w:pgMar w:left="1440" w:right="144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1670" cy="293370"/>
              <wp:effectExtent l="0" t="0" r="0" b="0"/>
              <wp:wrapSquare wrapText="bothSides"/>
              <wp:docPr id="1" name="Frame2"/>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HOU:596189.2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588.9pt;mso-position-vertical:bottom;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HOU:596189.2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1670"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HOU:596189.2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588.9pt;mso-position-vertical:bottom;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HOU:596189.2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A&amp;K DRAFT OF 12/8/00</w:t>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2000-12-09T16:18:00Z</dcterms:created>
  <dc:creator>Catherine Clark</dc:creator>
  <dc:description/>
  <dc:language>en-CA</dc:language>
  <cp:lastModifiedBy>A&amp;K</cp:lastModifiedBy>
  <cp:lastPrinted>2000-12-09T12:43:00Z</cp:lastPrinted>
  <dcterms:modified xsi:type="dcterms:W3CDTF">2000-12-09T16:18:00Z</dcterms:modified>
  <cp:revision>3</cp:revision>
  <dc:subject/>
  <dc:title>Equipment Purchase Agreements to be assigned to DevCo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HOU:596189.2 </vt:lpwstr>
  </property>
</Properties>
</file>